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480" w:firstLineChars="200"/>
        <w:jc w:val="center"/>
        <w:rPr>
          <w:rFonts w:hint="default" w:ascii="华文仿宋" w:hAnsi="华文仿宋" w:eastAsia="华文仿宋"/>
          <w:b/>
          <w:bCs w:val="0"/>
          <w:sz w:val="24"/>
          <w:szCs w:val="24"/>
          <w:lang w:val="en-US" w:eastAsia="zh-CN"/>
        </w:rPr>
      </w:pPr>
      <w:bookmarkStart w:id="0" w:name="_Toc1385"/>
      <w:r>
        <w:rPr>
          <w:rFonts w:hint="eastAsia" w:ascii="华文仿宋" w:hAnsi="华文仿宋" w:eastAsia="华文仿宋"/>
          <w:b/>
          <w:bCs w:val="0"/>
          <w:sz w:val="24"/>
          <w:szCs w:val="24"/>
          <w:lang w:val="en-US" w:eastAsia="zh-CN"/>
        </w:rPr>
        <w:t>知识产权信息服务网点数据管理制度</w:t>
      </w:r>
      <w:bookmarkEnd w:id="0"/>
    </w:p>
    <w:p>
      <w:pPr>
        <w:pStyle w:val="2"/>
        <w:spacing w:before="0" w:after="0" w:line="360" w:lineRule="auto"/>
        <w:ind w:firstLine="480" w:firstLineChars="200"/>
        <w:rPr>
          <w:rFonts w:hint="eastAsia" w:ascii="华文仿宋" w:hAnsi="华文仿宋" w:eastAsia="华文仿宋"/>
          <w:b w:val="0"/>
          <w:sz w:val="24"/>
          <w:szCs w:val="24"/>
        </w:rPr>
      </w:pPr>
      <w:bookmarkStart w:id="1" w:name="_Toc13534"/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  <w:lang w:val="en-US" w:eastAsia="zh-CN"/>
        </w:rPr>
        <w:t>数据</w:t>
      </w:r>
      <w:r>
        <w:rPr>
          <w:rFonts w:hint="eastAsia" w:ascii="华文仿宋" w:hAnsi="华文仿宋" w:eastAsia="华文仿宋"/>
          <w:b w:val="0"/>
          <w:sz w:val="24"/>
          <w:szCs w:val="24"/>
        </w:rPr>
        <w:t>管理，是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工作的重要组成部分。为使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工作进一步科学化、规</w:t>
      </w:r>
      <w:bookmarkStart w:id="12" w:name="_GoBack"/>
      <w:bookmarkEnd w:id="12"/>
      <w:r>
        <w:rPr>
          <w:rFonts w:hint="eastAsia" w:ascii="华文仿宋" w:hAnsi="华文仿宋" w:eastAsia="华文仿宋"/>
          <w:b w:val="0"/>
          <w:sz w:val="24"/>
          <w:szCs w:val="24"/>
        </w:rPr>
        <w:t>范化、标准化，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网点</w:t>
      </w:r>
      <w:r>
        <w:rPr>
          <w:rFonts w:hint="eastAsia" w:ascii="华文仿宋" w:hAnsi="华文仿宋" w:eastAsia="华文仿宋"/>
          <w:b w:val="0"/>
          <w:sz w:val="24"/>
          <w:szCs w:val="24"/>
        </w:rPr>
        <w:t>特制定本</w:t>
      </w:r>
      <w:r>
        <w:rPr>
          <w:rFonts w:hint="eastAsia" w:ascii="华文仿宋" w:hAnsi="华文仿宋" w:eastAsia="华文仿宋"/>
          <w:b w:val="0"/>
          <w:sz w:val="24"/>
          <w:szCs w:val="24"/>
          <w:lang w:val="en-US" w:eastAsia="zh-CN"/>
        </w:rPr>
        <w:t>数据</w:t>
      </w:r>
      <w:r>
        <w:rPr>
          <w:rFonts w:hint="eastAsia" w:ascii="华文仿宋" w:hAnsi="华文仿宋" w:eastAsia="华文仿宋"/>
          <w:b w:val="0"/>
          <w:sz w:val="24"/>
          <w:szCs w:val="24"/>
        </w:rPr>
        <w:t>管理制度。</w:t>
      </w:r>
      <w:bookmarkEnd w:id="1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bookmarkStart w:id="2" w:name="_Toc27689"/>
      <w:r>
        <w:rPr>
          <w:rFonts w:ascii="华文仿宋" w:hAnsi="华文仿宋" w:eastAsia="华文仿宋"/>
          <w:sz w:val="24"/>
          <w:szCs w:val="24"/>
        </w:rPr>
        <w:t>一、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数据</w:t>
      </w:r>
      <w:r>
        <w:rPr>
          <w:rFonts w:hint="eastAsia" w:ascii="华文仿宋" w:hAnsi="华文仿宋" w:eastAsia="华文仿宋"/>
          <w:sz w:val="24"/>
          <w:szCs w:val="24"/>
        </w:rPr>
        <w:t>管理内容</w:t>
      </w:r>
      <w:bookmarkEnd w:id="2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b w:val="0"/>
          <w:sz w:val="24"/>
          <w:szCs w:val="24"/>
        </w:rPr>
      </w:pPr>
      <w:bookmarkStart w:id="3" w:name="_Toc29562"/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  <w:lang w:val="en-US" w:eastAsia="zh-CN"/>
        </w:rPr>
        <w:t>数据</w:t>
      </w:r>
      <w:r>
        <w:rPr>
          <w:rFonts w:hint="eastAsia" w:ascii="华文仿宋" w:hAnsi="华文仿宋" w:eastAsia="华文仿宋"/>
          <w:b w:val="0"/>
          <w:sz w:val="24"/>
          <w:szCs w:val="24"/>
        </w:rPr>
        <w:t>分为文书档案和项目档案两大类。</w:t>
      </w:r>
      <w:bookmarkEnd w:id="3"/>
    </w:p>
    <w:p>
      <w:pPr>
        <w:pStyle w:val="2"/>
        <w:spacing w:before="0" w:after="0" w:line="360" w:lineRule="auto"/>
        <w:ind w:firstLine="360" w:firstLineChars="150"/>
        <w:rPr>
          <w:rFonts w:ascii="华文仿宋" w:hAnsi="华文仿宋" w:eastAsia="华文仿宋"/>
          <w:b w:val="0"/>
          <w:sz w:val="24"/>
          <w:szCs w:val="24"/>
        </w:rPr>
      </w:pPr>
      <w:bookmarkStart w:id="4" w:name="_Toc7006"/>
      <w:r>
        <w:rPr>
          <w:rFonts w:hint="eastAsia" w:ascii="华文仿宋" w:hAnsi="华文仿宋" w:eastAsia="华文仿宋"/>
          <w:b w:val="0"/>
          <w:sz w:val="24"/>
          <w:szCs w:val="24"/>
        </w:rPr>
        <w:t>（一）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文书档案包括</w:t>
      </w:r>
      <w:r>
        <w:rPr>
          <w:rFonts w:ascii="华文仿宋" w:hAnsi="华文仿宋" w:eastAsia="华文仿宋"/>
          <w:b w:val="0"/>
          <w:sz w:val="24"/>
          <w:szCs w:val="24"/>
        </w:rPr>
        <w:t>：</w:t>
      </w:r>
      <w:r>
        <w:rPr>
          <w:rFonts w:hint="eastAsia" w:ascii="华文仿宋" w:hAnsi="华文仿宋" w:eastAsia="华文仿宋"/>
          <w:b w:val="0"/>
          <w:sz w:val="24"/>
          <w:szCs w:val="24"/>
        </w:rPr>
        <w:t>上级下发的有关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的办法、规定、规范、细则等，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网点</w:t>
      </w:r>
      <w:r>
        <w:rPr>
          <w:rFonts w:hint="eastAsia" w:ascii="华文仿宋" w:hAnsi="华文仿宋" w:eastAsia="华文仿宋"/>
          <w:b w:val="0"/>
          <w:sz w:val="24"/>
          <w:szCs w:val="24"/>
        </w:rPr>
        <w:t>制定的有关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的规章制度，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工作总结，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项目登记簿，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咨询专家数据库和有关业绩材料，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人员档案及变更情况档案，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人员参加专业继续教育培训情况档案以及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人员在工作中所获成果、发表的著作和论文等有关资料。</w:t>
      </w:r>
      <w:bookmarkEnd w:id="4"/>
    </w:p>
    <w:p>
      <w:pPr>
        <w:pStyle w:val="2"/>
        <w:spacing w:before="0" w:after="0" w:line="360" w:lineRule="auto"/>
        <w:ind w:firstLine="240" w:firstLineChars="100"/>
        <w:rPr>
          <w:rFonts w:ascii="华文仿宋" w:hAnsi="华文仿宋" w:eastAsia="华文仿宋"/>
          <w:b w:val="0"/>
          <w:sz w:val="24"/>
          <w:szCs w:val="24"/>
        </w:rPr>
      </w:pPr>
      <w:bookmarkStart w:id="5" w:name="_Toc23001"/>
      <w:r>
        <w:rPr>
          <w:rFonts w:hint="eastAsia" w:ascii="华文仿宋" w:hAnsi="华文仿宋" w:eastAsia="华文仿宋"/>
          <w:b w:val="0"/>
          <w:sz w:val="24"/>
          <w:szCs w:val="24"/>
        </w:rPr>
        <w:t>（二）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项目档案包括</w:t>
      </w:r>
      <w:r>
        <w:rPr>
          <w:rFonts w:ascii="华文仿宋" w:hAnsi="华文仿宋" w:eastAsia="华文仿宋"/>
          <w:b w:val="0"/>
          <w:sz w:val="24"/>
          <w:szCs w:val="24"/>
        </w:rPr>
        <w:t>：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委托单（专利信息服务委托单）、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合同、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分析报告（包括专利检索报告、专利查新报告、专利分析报告等等）、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项目的主要科学技术资料、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咨询专家的书面咨询意见、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人员的工作记录等。</w:t>
      </w:r>
      <w:bookmarkEnd w:id="5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bookmarkStart w:id="6" w:name="_Toc27873"/>
      <w:r>
        <w:rPr>
          <w:rFonts w:ascii="华文仿宋" w:hAnsi="华文仿宋" w:eastAsia="华文仿宋"/>
          <w:sz w:val="24"/>
          <w:szCs w:val="24"/>
        </w:rPr>
        <w:t>二、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数据</w:t>
      </w:r>
      <w:r>
        <w:rPr>
          <w:rFonts w:hint="eastAsia" w:ascii="华文仿宋" w:hAnsi="华文仿宋" w:eastAsia="华文仿宋"/>
          <w:sz w:val="24"/>
          <w:szCs w:val="24"/>
        </w:rPr>
        <w:t>管理要求</w:t>
      </w:r>
      <w:bookmarkEnd w:id="6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b w:val="0"/>
          <w:sz w:val="24"/>
          <w:szCs w:val="24"/>
        </w:rPr>
      </w:pPr>
      <w:bookmarkStart w:id="7" w:name="_Toc13710"/>
      <w:r>
        <w:rPr>
          <w:rFonts w:hint="eastAsia" w:ascii="华文仿宋" w:hAnsi="华文仿宋" w:eastAsia="华文仿宋"/>
          <w:b w:val="0"/>
          <w:sz w:val="24"/>
          <w:szCs w:val="24"/>
        </w:rPr>
        <w:t>（一）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  <w:lang w:val="en-US" w:eastAsia="zh-CN"/>
        </w:rPr>
        <w:t>数据</w:t>
      </w:r>
      <w:r>
        <w:rPr>
          <w:rFonts w:hint="eastAsia" w:ascii="华文仿宋" w:hAnsi="华文仿宋" w:eastAsia="华文仿宋"/>
          <w:b w:val="0"/>
          <w:sz w:val="24"/>
          <w:szCs w:val="24"/>
        </w:rPr>
        <w:t>属机密性档案，须有固定</w:t>
      </w:r>
      <w:r>
        <w:rPr>
          <w:rFonts w:ascii="华文仿宋" w:hAnsi="华文仿宋" w:eastAsia="华文仿宋"/>
          <w:b w:val="0"/>
          <w:sz w:val="24"/>
          <w:szCs w:val="24"/>
        </w:rPr>
        <w:t>的</w:t>
      </w:r>
      <w:r>
        <w:rPr>
          <w:rFonts w:hint="eastAsia" w:ascii="华文仿宋" w:hAnsi="华文仿宋" w:eastAsia="华文仿宋"/>
          <w:b w:val="0"/>
          <w:sz w:val="24"/>
          <w:szCs w:val="24"/>
        </w:rPr>
        <w:t>场所</w:t>
      </w:r>
      <w:r>
        <w:rPr>
          <w:rFonts w:ascii="华文仿宋" w:hAnsi="华文仿宋" w:eastAsia="华文仿宋"/>
          <w:b w:val="0"/>
          <w:sz w:val="24"/>
          <w:szCs w:val="24"/>
        </w:rPr>
        <w:t>、</w:t>
      </w:r>
      <w:r>
        <w:rPr>
          <w:rFonts w:hint="eastAsia" w:ascii="华文仿宋" w:hAnsi="华文仿宋" w:eastAsia="华文仿宋"/>
          <w:b w:val="0"/>
          <w:sz w:val="24"/>
          <w:szCs w:val="24"/>
        </w:rPr>
        <w:t>专用保密文件柜和专用计算机，并由专人负责管理。</w:t>
      </w:r>
      <w:bookmarkEnd w:id="7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b w:val="0"/>
          <w:sz w:val="24"/>
          <w:szCs w:val="24"/>
        </w:rPr>
      </w:pPr>
      <w:bookmarkStart w:id="8" w:name="_Toc20141"/>
      <w:r>
        <w:rPr>
          <w:rFonts w:hint="eastAsia" w:ascii="华文仿宋" w:hAnsi="华文仿宋" w:eastAsia="华文仿宋"/>
          <w:b w:val="0"/>
          <w:sz w:val="24"/>
          <w:szCs w:val="24"/>
        </w:rPr>
        <w:t>（二）每一个知识产权项目的相关材料由该项目的受理人负责收集、整理、归档。完成之后，所有关于该项目的材料应当及时移交档案管理专员，档案管理专员应当建立档案登记簿，按照要求逐一清点验收、登记，并需经双方签字。</w:t>
      </w:r>
      <w:bookmarkEnd w:id="8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b w:val="0"/>
          <w:sz w:val="24"/>
          <w:szCs w:val="24"/>
        </w:rPr>
      </w:pPr>
      <w:bookmarkStart w:id="9" w:name="_Toc141"/>
      <w:r>
        <w:rPr>
          <w:rFonts w:hint="eastAsia" w:ascii="华文仿宋" w:hAnsi="华文仿宋" w:eastAsia="华文仿宋"/>
          <w:b w:val="0"/>
          <w:sz w:val="24"/>
          <w:szCs w:val="24"/>
        </w:rPr>
        <w:t>（三）档案立卷保管，文书档案类按照年度归档，项目档案类按年度编号立卷，分别按一定标准装入档案袋专柜存放，并存入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知识产权信息公共服务网点</w:t>
      </w:r>
      <w:r>
        <w:rPr>
          <w:rFonts w:hint="eastAsia" w:ascii="华文仿宋" w:hAnsi="华文仿宋" w:eastAsia="华文仿宋"/>
          <w:b w:val="0"/>
          <w:sz w:val="24"/>
          <w:szCs w:val="24"/>
        </w:rPr>
        <w:t>电子文档。</w:t>
      </w:r>
      <w:bookmarkEnd w:id="9"/>
    </w:p>
    <w:p>
      <w:pPr>
        <w:pStyle w:val="2"/>
        <w:spacing w:before="0" w:after="0" w:line="360" w:lineRule="auto"/>
        <w:ind w:firstLine="480" w:firstLineChars="200"/>
        <w:rPr>
          <w:rFonts w:ascii="华文仿宋" w:hAnsi="华文仿宋" w:eastAsia="华文仿宋"/>
          <w:b w:val="0"/>
          <w:sz w:val="24"/>
          <w:szCs w:val="24"/>
        </w:rPr>
      </w:pPr>
      <w:bookmarkStart w:id="10" w:name="_Toc12066"/>
      <w:r>
        <w:rPr>
          <w:rFonts w:hint="eastAsia" w:ascii="华文仿宋" w:hAnsi="华文仿宋" w:eastAsia="华文仿宋"/>
          <w:b w:val="0"/>
          <w:sz w:val="24"/>
          <w:szCs w:val="24"/>
        </w:rPr>
        <w:t>（四）</w:t>
      </w:r>
      <w:r>
        <w:rPr>
          <w:rFonts w:hint="eastAsia" w:ascii="华文仿宋" w:hAnsi="华文仿宋" w:eastAsia="华文仿宋"/>
          <w:b w:val="0"/>
          <w:sz w:val="24"/>
          <w:szCs w:val="24"/>
          <w:lang w:eastAsia="zh-CN"/>
        </w:rPr>
        <w:t>知识产权信息公共服务</w:t>
      </w:r>
      <w:r>
        <w:rPr>
          <w:rFonts w:hint="eastAsia" w:ascii="华文仿宋" w:hAnsi="华文仿宋" w:eastAsia="华文仿宋"/>
          <w:b w:val="0"/>
          <w:sz w:val="24"/>
          <w:szCs w:val="24"/>
        </w:rPr>
        <w:t>人员及时将项目的资料、合同、报告及其附件、咨询专家意见、工作记录、反馈意见等存档并进行计算机档案管理。</w:t>
      </w:r>
      <w:bookmarkEnd w:id="10"/>
    </w:p>
    <w:p>
      <w:pPr>
        <w:pStyle w:val="2"/>
        <w:spacing w:before="0" w:after="0" w:line="360" w:lineRule="auto"/>
        <w:ind w:firstLine="480" w:firstLineChars="200"/>
        <w:rPr>
          <w:rFonts w:hint="eastAsia" w:ascii="华文仿宋" w:hAnsi="华文仿宋" w:eastAsia="华文仿宋"/>
          <w:b w:val="0"/>
          <w:sz w:val="24"/>
          <w:szCs w:val="24"/>
        </w:rPr>
      </w:pPr>
      <w:bookmarkStart w:id="11" w:name="_Toc25331"/>
      <w:r>
        <w:rPr>
          <w:rFonts w:hint="eastAsia" w:ascii="华文仿宋" w:hAnsi="华文仿宋" w:eastAsia="华文仿宋"/>
          <w:b w:val="0"/>
          <w:sz w:val="24"/>
          <w:szCs w:val="24"/>
        </w:rPr>
        <w:t>（五）档案管理人员和其他有关人员必须本着高度负责的精神，严格遵守本档案保管制度如出现档案遗失、泄密、损毁将追究当事人的责任并严肃处理。</w:t>
      </w:r>
      <w:bookmarkEnd w:id="11"/>
    </w:p>
    <w:p>
      <w:pPr>
        <w:rPr>
          <w:rFonts w:hint="eastAsia" w:ascii="华文仿宋" w:hAnsi="华文仿宋" w:eastAsia="华文仿宋"/>
          <w:b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zFjZjYwYzg0NWUwYjRlOWI0YWZlM2M4YzZmNjIifQ=="/>
  </w:docVars>
  <w:rsids>
    <w:rsidRoot w:val="00000000"/>
    <w:rsid w:val="362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2023-10-20T08:01:41Z</dcterms:created>
  <dc:creator>Administrator</dc:creator>
  <cp:lastModifiedBy>ym</cp:lastModifiedBy>
  <dcterms:modified xsi:type="dcterms:W3CDTF">2023-10-20T08:04:36Z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6C463B8F9A1048B7ADAE30836A102DD5_12</vt:lpwstr>
  </property>
</Properties>
</file>