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0</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11</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0</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11</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3"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3j4TChICAADtAwAA&#10;DgAAAAAAAAABACAAAAAqAQAAZHJzL2Uyb0RvYy54bWxQSwUGAAAAAAYABgBZAQAArgU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4" name="等腰三角形 4"/>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IRaKGhsC&#10;AAAFBAAADgAAAAAAAAABACAAAAAnAQAAZHJzL2Uyb0RvYy54bWxQSwUGAAAAAAYABgBZAQAAtAUA&#10;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10"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11"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AfrfhMOAIAAHY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720" w:lineRule="auto"/>
                              <w:ind w:firstLine="2081" w:firstLineChars="400"/>
                              <w:rPr>
                                <w:rFonts w:hint="eastAsia" w:ascii="微软雅黑" w:hAnsi="微软雅黑" w:eastAsia="微软雅黑" w:cs="Times New Roman"/>
                                <w:b/>
                                <w:color w:val="5B9BD5"/>
                                <w:sz w:val="28"/>
                                <w:szCs w:val="24"/>
                                <w:lang w:val="en-US" w:eastAsia="zh-CN"/>
                              </w:rPr>
                            </w:pPr>
                            <w:r>
                              <w:rPr>
                                <w:rFonts w:hint="eastAsia" w:ascii="微软雅黑" w:hAnsi="微软雅黑" w:eastAsia="微软雅黑"/>
                                <w:b/>
                                <w:color w:val="5B9BD5"/>
                                <w:sz w:val="52"/>
                                <w:szCs w:val="52"/>
                                <w:u w:val="dashLongHeavy"/>
                                <w:lang w:val="en-US" w:eastAsia="zh-CN"/>
                              </w:rPr>
                              <w:t>2020年第三季度专利统计分析报告</w:t>
                            </w:r>
                          </w:p>
                          <w:p>
                            <w:pPr>
                              <w:spacing w:line="720" w:lineRule="auto"/>
                              <w:ind w:firstLine="1681" w:firstLineChars="6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Qnjrt0AAAAMAQAADwAAAAAAAAABACAAAAAiAAAAZHJzL2Rvd25y&#10;ZXYueG1sUEsBAhQAFAAAAAgAh07iQK0z9brAAQAAaAMAAA4AAAAAAAAAAQAgAAAALAEAAGRycy9l&#10;Mm9Eb2MueG1sUEsFBgAAAAAGAAYAWQEAAF4FA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720" w:lineRule="auto"/>
                        <w:ind w:firstLine="2081" w:firstLineChars="400"/>
                        <w:rPr>
                          <w:rFonts w:hint="eastAsia" w:ascii="微软雅黑" w:hAnsi="微软雅黑" w:eastAsia="微软雅黑" w:cs="Times New Roman"/>
                          <w:b/>
                          <w:color w:val="5B9BD5"/>
                          <w:sz w:val="28"/>
                          <w:szCs w:val="24"/>
                          <w:lang w:val="en-US" w:eastAsia="zh-CN"/>
                        </w:rPr>
                      </w:pPr>
                      <w:r>
                        <w:rPr>
                          <w:rFonts w:hint="eastAsia" w:ascii="微软雅黑" w:hAnsi="微软雅黑" w:eastAsia="微软雅黑"/>
                          <w:b/>
                          <w:color w:val="5B9BD5"/>
                          <w:sz w:val="52"/>
                          <w:szCs w:val="52"/>
                          <w:u w:val="dashLongHeavy"/>
                          <w:lang w:val="en-US" w:eastAsia="zh-CN"/>
                        </w:rPr>
                        <w:t>2020年第三季度专利统计分析报告</w:t>
                      </w:r>
                    </w:p>
                    <w:p>
                      <w:pPr>
                        <w:spacing w:line="720" w:lineRule="auto"/>
                        <w:ind w:firstLine="1681" w:firstLineChars="6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59175"/>
                <wp:effectExtent l="0" t="0" r="0" b="3175"/>
                <wp:wrapNone/>
                <wp:docPr id="13" name="箭头: 左 10"/>
                <wp:cNvGraphicFramePr/>
                <a:graphic xmlns:a="http://schemas.openxmlformats.org/drawingml/2006/main">
                  <a:graphicData uri="http://schemas.microsoft.com/office/word/2010/wordprocessingShape">
                    <wps:wsp>
                      <wps:cNvSpPr/>
                      <wps:spPr>
                        <a:xfrm flipH="1">
                          <a:off x="0" y="0"/>
                          <a:ext cx="7848600" cy="3559175"/>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0.25pt;width:618pt;mso-position-horizontal-relative:page;mso-position-vertical-relative:page;z-index:-251656192;v-text-anchor:middle;mso-width-relative:page;mso-height-relative:page;" fillcolor="#DEEBF7" filled="t" stroked="f" coordsize="21600,21600" o:gfxdata="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V7+1w2wAAAA0BAAAPAAAAAAAAAAEAIAAAACIAAABkcnMvZG93bnJldi54bWxQSwECFAAUAAAA&#10;CACHTuJADlHE6SQCAAAyBAAADgAAAAAAAAABACAAAAAqAQAAZHJzL2Uyb0RvYy54bWxQSwUGAAAA&#10;AAYABgBZAQAAwAUAAAAA&#10;" adj="5260,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4"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5"/>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AdpDTp9QEAANgDAAAOAAAAZHJzL2Uyb0RvYy54bWytU82O&#10;0zAQviPxDpbvNNnubmm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eIkXFFimMaO&#10;n37+OP36c/r9nUyjPq3zS0y7c5gYuje2w9zR79EZaXcV6PhHQgTjqO7xrK7oAuHonF6+vlrkGOIY&#10;W8zns8V1hMnuTzvw4a2wmkSjoIDdS6Kyw3sf+tQxJV7mrZLlViqVNlDvbhWQA8NOb9M3oD9KU4a0&#10;BZ1dXucJ2dh4vodWBouJZHtS0QrdrhsU2NnyiALgw8HKGgvfKGlxbArqv+4ZCErUO4N9iTM2GjAa&#10;u9FghuPRggZKevM29LO4dyDrBpGTsqkKbHgSZxjOOFEP96nW+w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HaQ06fUBAADYAwAADgAAAAAAAAABACAAAAAmAQAAZHJzL2Uyb0RvYy54bWxQ&#10;SwUGAAAAAAYABgBZAQAAjQUAAAAA&#10;">
                <v:fill on="t" focussize="0,0"/>
                <v:stroke on="f" weight="0.5pt"/>
                <v:imagedata o:title=""/>
                <o:lock v:ext="edit" aspectratio="f"/>
                <v:textbox inset="0mm,0mm,0mm,0mm">
                  <w:txbxContent>
                    <w:p>
                      <w:pPr>
                        <w:pStyle w:val="5"/>
                        <w:spacing w:before="40" w:after="560" w:line="216" w:lineRule="auto"/>
                        <w:rPr>
                          <w:rFonts w:hint="eastAsia" w:ascii="微软雅黑" w:hAnsi="微软雅黑" w:eastAsia="微软雅黑"/>
                          <w:color w:val="000000"/>
                          <w:sz w:val="48"/>
                          <w:szCs w:val="24"/>
                        </w:rPr>
                      </w:pPr>
                    </w:p>
                  </w:txbxContent>
                </v:textbox>
              </v:shape>
            </w:pict>
          </mc:Fallback>
        </mc:AlternateContent>
      </w:r>
    </w:p>
    <w:p>
      <w:pPr>
        <w:jc w:val="center"/>
        <w:rPr>
          <w:rFonts w:hint="default"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uto"/>
        <w:outlineLvl w:val="0"/>
        <w:rPr>
          <w:rFonts w:hint="eastAsia" w:ascii="仿宋" w:hAnsi="仿宋" w:eastAsia="仿宋" w:cs="仿宋"/>
          <w:sz w:val="28"/>
          <w:szCs w:val="28"/>
        </w:rPr>
      </w:pPr>
      <w:bookmarkStart w:id="0" w:name="_Toc19202"/>
      <w:bookmarkStart w:id="1" w:name="_Toc7759"/>
      <w:bookmarkStart w:id="2" w:name="_Toc32199"/>
      <w:r>
        <w:rPr>
          <w:rFonts w:hint="eastAsia" w:ascii="仿宋" w:hAnsi="仿宋" w:eastAsia="仿宋" w:cs="仿宋"/>
          <w:b/>
          <w:bCs/>
          <w:sz w:val="28"/>
          <w:szCs w:val="28"/>
        </w:rPr>
        <w:t>数据来源</w:t>
      </w:r>
      <w:bookmarkEnd w:id="0"/>
      <w:bookmarkEnd w:id="1"/>
      <w:bookmarkEnd w:id="2"/>
    </w:p>
    <w:p>
      <w:pPr>
        <w:spacing w:line="480" w:lineRule="auto"/>
        <w:rPr>
          <w:rFonts w:hint="eastAsia" w:ascii="仿宋" w:hAnsi="仿宋" w:eastAsia="仿宋" w:cs="仿宋"/>
          <w:sz w:val="28"/>
          <w:szCs w:val="28"/>
        </w:rPr>
      </w:pPr>
      <w:r>
        <w:rPr>
          <w:rFonts w:hint="eastAsia" w:ascii="仿宋" w:hAnsi="仿宋" w:eastAsia="仿宋" w:cs="仿宋"/>
          <w:sz w:val="28"/>
          <w:szCs w:val="28"/>
        </w:rPr>
        <w:t>本报告的数据来源有两个方面：</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（1）中国知网（CNKI）</w:t>
      </w:r>
      <w:r>
        <w:rPr>
          <w:rFonts w:hint="eastAsia" w:ascii="仿宋" w:hAnsi="仿宋" w:eastAsia="仿宋" w:cs="仿宋"/>
          <w:sz w:val="28"/>
          <w:szCs w:val="28"/>
          <w:lang w:val="en-US" w:eastAsia="zh-CN"/>
        </w:rPr>
        <w:t>专利数据库，</w:t>
      </w:r>
      <w:r>
        <w:rPr>
          <w:rFonts w:hint="eastAsia" w:ascii="仿宋" w:hAnsi="仿宋" w:eastAsia="仿宋" w:cs="仿宋"/>
          <w:sz w:val="28"/>
          <w:szCs w:val="28"/>
        </w:rPr>
        <w:t>数据统计下载日期为20</w:t>
      </w:r>
      <w:r>
        <w:rPr>
          <w:rFonts w:hint="eastAsia" w:ascii="仿宋" w:hAnsi="仿宋" w:eastAsia="仿宋" w:cs="仿宋"/>
          <w:sz w:val="28"/>
          <w:szCs w:val="28"/>
          <w:lang w:val="en-US" w:eastAsia="zh-CN"/>
        </w:rPr>
        <w:t>20</w:t>
      </w:r>
      <w:bookmarkStart w:id="36" w:name="_GoBack"/>
      <w:bookmarkEnd w:id="36"/>
      <w:r>
        <w:rPr>
          <w:rFonts w:hint="eastAsia" w:ascii="仿宋" w:hAnsi="仿宋" w:eastAsia="仿宋" w:cs="仿宋"/>
          <w:sz w:val="28"/>
          <w:szCs w:val="28"/>
        </w:rPr>
        <w:t>年</w:t>
      </w:r>
      <w:r>
        <w:rPr>
          <w:rFonts w:hint="eastAsia" w:ascii="仿宋" w:hAnsi="仿宋" w:eastAsia="仿宋" w:cs="仿宋"/>
          <w:sz w:val="28"/>
          <w:szCs w:val="28"/>
          <w:lang w:val="en-US" w:eastAsia="zh-CN"/>
        </w:rPr>
        <w:t>11</w:t>
      </w:r>
      <w:r>
        <w:rPr>
          <w:rFonts w:hint="eastAsia" w:ascii="仿宋" w:hAnsi="仿宋" w:eastAsia="仿宋" w:cs="仿宋"/>
          <w:sz w:val="28"/>
          <w:szCs w:val="28"/>
        </w:rPr>
        <w:t>月</w:t>
      </w:r>
      <w:r>
        <w:rPr>
          <w:rFonts w:hint="eastAsia" w:ascii="仿宋" w:hAnsi="仿宋" w:eastAsia="仿宋" w:cs="仿宋"/>
          <w:sz w:val="28"/>
          <w:szCs w:val="28"/>
          <w:lang w:val="en-US" w:eastAsia="zh-CN"/>
        </w:rPr>
        <w:t>5</w:t>
      </w:r>
      <w:r>
        <w:rPr>
          <w:rFonts w:hint="eastAsia" w:ascii="仿宋" w:hAnsi="仿宋" w:eastAsia="仿宋" w:cs="仿宋"/>
          <w:sz w:val="28"/>
          <w:szCs w:val="28"/>
        </w:rPr>
        <w:t>日。</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国家知识产权局专利检索及分析</w:t>
      </w:r>
      <w:r>
        <w:rPr>
          <w:rFonts w:hint="eastAsia" w:ascii="仿宋" w:hAnsi="仿宋" w:eastAsia="仿宋" w:cs="仿宋"/>
          <w:sz w:val="28"/>
          <w:szCs w:val="28"/>
        </w:rPr>
        <w:t>数据库</w:t>
      </w:r>
      <w:r>
        <w:rPr>
          <w:rFonts w:hint="eastAsia" w:ascii="仿宋" w:hAnsi="仿宋" w:eastAsia="仿宋" w:cs="仿宋"/>
          <w:sz w:val="28"/>
          <w:szCs w:val="28"/>
          <w:lang w:eastAsia="zh-CN"/>
        </w:rPr>
        <w:t>，</w:t>
      </w:r>
      <w:r>
        <w:rPr>
          <w:rFonts w:hint="eastAsia" w:ascii="仿宋" w:hAnsi="仿宋" w:eastAsia="仿宋" w:cs="仿宋"/>
          <w:sz w:val="28"/>
          <w:szCs w:val="28"/>
        </w:rPr>
        <w:t>数据统计下载日期为20</w:t>
      </w:r>
      <w:r>
        <w:rPr>
          <w:rFonts w:hint="eastAsia" w:ascii="仿宋" w:hAnsi="仿宋" w:eastAsia="仿宋" w:cs="仿宋"/>
          <w:sz w:val="28"/>
          <w:szCs w:val="28"/>
          <w:lang w:val="en-US" w:eastAsia="zh-CN"/>
        </w:rPr>
        <w:t>20</w:t>
      </w:r>
      <w:r>
        <w:rPr>
          <w:rFonts w:hint="eastAsia" w:ascii="仿宋" w:hAnsi="仿宋" w:eastAsia="仿宋" w:cs="仿宋"/>
          <w:sz w:val="28"/>
          <w:szCs w:val="28"/>
        </w:rPr>
        <w:t>年</w:t>
      </w:r>
      <w:r>
        <w:rPr>
          <w:rFonts w:hint="eastAsia" w:ascii="仿宋" w:hAnsi="仿宋" w:eastAsia="仿宋" w:cs="仿宋"/>
          <w:sz w:val="28"/>
          <w:szCs w:val="28"/>
          <w:lang w:val="en-US" w:eastAsia="zh-CN"/>
        </w:rPr>
        <w:t>11</w:t>
      </w:r>
      <w:r>
        <w:rPr>
          <w:rFonts w:hint="eastAsia" w:ascii="仿宋" w:hAnsi="仿宋" w:eastAsia="仿宋" w:cs="仿宋"/>
          <w:sz w:val="28"/>
          <w:szCs w:val="28"/>
        </w:rPr>
        <w:t>月</w:t>
      </w:r>
      <w:r>
        <w:rPr>
          <w:rFonts w:hint="eastAsia" w:ascii="仿宋" w:hAnsi="仿宋" w:eastAsia="仿宋" w:cs="仿宋"/>
          <w:sz w:val="28"/>
          <w:szCs w:val="28"/>
          <w:lang w:val="en-US" w:eastAsia="zh-CN"/>
        </w:rPr>
        <w:t>5</w:t>
      </w:r>
      <w:r>
        <w:rPr>
          <w:rFonts w:hint="eastAsia" w:ascii="仿宋" w:hAnsi="仿宋" w:eastAsia="仿宋" w:cs="仿宋"/>
          <w:sz w:val="28"/>
          <w:szCs w:val="28"/>
        </w:rPr>
        <w:t>日。</w:t>
      </w:r>
    </w:p>
    <w:p>
      <w:pPr>
        <w:spacing w:line="480" w:lineRule="auto"/>
        <w:outlineLvl w:val="0"/>
        <w:rPr>
          <w:rFonts w:hint="eastAsia" w:ascii="仿宋" w:hAnsi="仿宋" w:eastAsia="仿宋" w:cs="仿宋"/>
          <w:sz w:val="28"/>
          <w:szCs w:val="28"/>
        </w:rPr>
      </w:pPr>
      <w:bookmarkStart w:id="3" w:name="_Toc20858"/>
      <w:bookmarkStart w:id="4" w:name="_Toc31217"/>
      <w:bookmarkStart w:id="5" w:name="_Toc19775"/>
      <w:r>
        <w:rPr>
          <w:rFonts w:hint="eastAsia" w:ascii="仿宋" w:hAnsi="仿宋" w:eastAsia="仿宋" w:cs="仿宋"/>
          <w:b/>
          <w:bCs/>
          <w:sz w:val="28"/>
          <w:szCs w:val="28"/>
        </w:rPr>
        <w:t>数据处理</w:t>
      </w:r>
      <w:bookmarkEnd w:id="3"/>
      <w:bookmarkEnd w:id="4"/>
      <w:bookmarkEnd w:id="5"/>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（1）由于不同数据库更新周期不同，每次检索时间不同，检索结果也不相同。所以报告的数据及分析内容只对报告列出的当时检索时间为准。</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480" w:lineRule="auto"/>
        <w:jc w:val="left"/>
        <w:outlineLvl w:val="0"/>
        <w:rPr>
          <w:rFonts w:hint="eastAsia" w:ascii="仿宋" w:hAnsi="仿宋" w:eastAsia="仿宋" w:cs="仿宋"/>
          <w:sz w:val="28"/>
          <w:szCs w:val="28"/>
        </w:rPr>
      </w:pPr>
      <w:bookmarkStart w:id="6" w:name="_Toc17869"/>
      <w:bookmarkStart w:id="7" w:name="_Toc4055"/>
      <w:bookmarkStart w:id="8" w:name="_Toc29516"/>
      <w:r>
        <w:rPr>
          <w:rFonts w:hint="eastAsia" w:ascii="仿宋" w:hAnsi="仿宋" w:eastAsia="仿宋" w:cs="仿宋"/>
          <w:b/>
          <w:bCs/>
          <w:sz w:val="28"/>
          <w:szCs w:val="28"/>
        </w:rPr>
        <w:t>报告撰写</w:t>
      </w:r>
      <w:r>
        <w:rPr>
          <w:rFonts w:hint="eastAsia" w:ascii="仿宋" w:hAnsi="仿宋" w:eastAsia="仿宋" w:cs="仿宋"/>
          <w:sz w:val="28"/>
          <w:szCs w:val="28"/>
        </w:rPr>
        <w:t>：</w:t>
      </w:r>
      <w:r>
        <w:rPr>
          <w:rFonts w:hint="eastAsia" w:ascii="仿宋" w:hAnsi="仿宋" w:eastAsia="仿宋" w:cs="仿宋"/>
          <w:sz w:val="28"/>
          <w:szCs w:val="28"/>
          <w:lang w:val="en-US" w:eastAsia="zh-CN"/>
        </w:rPr>
        <w:t>闫  明</w:t>
      </w:r>
      <w:bookmarkEnd w:id="6"/>
      <w:bookmarkEnd w:id="7"/>
      <w:bookmarkEnd w:id="8"/>
      <w:r>
        <w:rPr>
          <w:rFonts w:hint="eastAsia" w:ascii="仿宋" w:hAnsi="仿宋" w:eastAsia="仿宋" w:cs="仿宋"/>
          <w:sz w:val="28"/>
          <w:szCs w:val="28"/>
        </w:rPr>
        <w:t xml:space="preserve">    </w:t>
      </w:r>
    </w:p>
    <w:p>
      <w:pPr>
        <w:spacing w:line="480" w:lineRule="auto"/>
        <w:jc w:val="left"/>
        <w:outlineLvl w:val="0"/>
        <w:rPr>
          <w:rFonts w:hint="eastAsia" w:ascii="仿宋" w:hAnsi="仿宋" w:eastAsia="仿宋" w:cs="仿宋"/>
          <w:sz w:val="28"/>
          <w:szCs w:val="28"/>
        </w:rPr>
      </w:pPr>
      <w:bookmarkStart w:id="9" w:name="_Toc2529"/>
      <w:bookmarkStart w:id="10" w:name="_Toc5698"/>
      <w:bookmarkStart w:id="11" w:name="_Toc18642"/>
      <w:r>
        <w:rPr>
          <w:rFonts w:hint="eastAsia" w:ascii="仿宋" w:hAnsi="仿宋" w:eastAsia="仿宋" w:cs="仿宋"/>
          <w:b/>
          <w:bCs/>
          <w:sz w:val="28"/>
          <w:szCs w:val="28"/>
        </w:rPr>
        <w:t>数据处理</w:t>
      </w:r>
      <w:r>
        <w:rPr>
          <w:rFonts w:hint="eastAsia" w:ascii="仿宋" w:hAnsi="仿宋" w:eastAsia="仿宋" w:cs="仿宋"/>
          <w:sz w:val="28"/>
          <w:szCs w:val="28"/>
        </w:rPr>
        <w:t>：闫  明</w:t>
      </w:r>
      <w:bookmarkEnd w:id="9"/>
      <w:bookmarkEnd w:id="10"/>
      <w:bookmarkEnd w:id="11"/>
    </w:p>
    <w:p>
      <w:pPr>
        <w:jc w:val="center"/>
        <w:rPr>
          <w:rFonts w:hint="default"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51943"/>
        <w15:color w:val="DBDBDB"/>
        <w:docPartObj>
          <w:docPartGallery w:val="Table of Contents"/>
          <w:docPartUnique/>
        </w:docPartObj>
      </w:sdtPr>
      <w:sdtEndPr>
        <w:rPr>
          <w:rFonts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p>
        <w:p>
          <w:pPr>
            <w:pStyle w:val="4"/>
            <w:tabs>
              <w:tab w:val="right" w:leader="dot" w:pos="8306"/>
            </w:tabs>
            <w:rPr>
              <w:rFonts w:hint="eastAsia" w:ascii="宋体" w:hAnsi="宋体" w:eastAsia="宋体" w:cs="宋体"/>
              <w:sz w:val="24"/>
              <w:szCs w:val="24"/>
            </w:rPr>
          </w:pPr>
          <w:r>
            <w:fldChar w:fldCharType="begin"/>
          </w:r>
          <w:r>
            <w:instrText xml:space="preserve">TOC \o "1-1" \h \u </w:instrText>
          </w:r>
          <w:r>
            <w:fldChar w:fldCharType="separate"/>
          </w:r>
        </w:p>
        <w:p>
          <w:pPr>
            <w:pStyle w:val="4"/>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1.专利数量分析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_Toc14794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2.专利类别分析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_Toc14794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_Toc13689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_Toc13689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_Toc20395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4.主题词分析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_Toc20395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_Toc7493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5.发明人分析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_Toc7493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_Toc21529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6.申请机构分析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_Toc21529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_Toc13350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7.代理机构分析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_Toc13350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
            <w:tabs>
              <w:tab w:val="right" w:leader="dot" w:pos="8306"/>
            </w:tabs>
            <w:spacing w:line="480" w:lineRule="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_Toc7187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8.综合分析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_Toc7187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
            <w:tabs>
              <w:tab w:val="right" w:leader="dot" w:pos="8306"/>
            </w:tabs>
          </w:pPr>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fldChar w:fldCharType="end"/>
          </w:r>
        </w:p>
      </w:sdtContent>
    </w:sdt>
    <w:p>
      <w:pPr>
        <w:jc w:val="center"/>
        <w:outlineLvl w:val="0"/>
        <w:rPr>
          <w:rFonts w:hint="eastAsia" w:ascii="黑体" w:hAnsi="黑体" w:eastAsia="黑体" w:cs="黑体"/>
          <w:b/>
          <w:bCs/>
          <w:sz w:val="44"/>
          <w:szCs w:val="44"/>
          <w:lang w:val="en-US" w:eastAsia="zh-CN"/>
        </w:rPr>
      </w:pPr>
      <w:bookmarkStart w:id="12" w:name="_Toc10613"/>
      <w:bookmarkStart w:id="13" w:name="_Toc32336"/>
      <w:bookmarkStart w:id="14" w:name="_Toc30326"/>
      <w:bookmarkStart w:id="15" w:name="_Toc23886"/>
      <w:r>
        <w:rPr>
          <w:rFonts w:hint="eastAsia" w:ascii="黑体" w:hAnsi="黑体" w:eastAsia="黑体" w:cs="黑体"/>
          <w:b/>
          <w:bCs/>
          <w:sz w:val="44"/>
          <w:szCs w:val="44"/>
          <w:lang w:val="en-US" w:eastAsia="zh-CN"/>
        </w:rPr>
        <w:t>河北科技师范学院</w:t>
      </w:r>
      <w:bookmarkEnd w:id="12"/>
      <w:bookmarkEnd w:id="13"/>
      <w:bookmarkEnd w:id="14"/>
      <w:bookmarkEnd w:id="15"/>
    </w:p>
    <w:p>
      <w:pPr>
        <w:jc w:val="center"/>
        <w:outlineLvl w:val="0"/>
        <w:rPr>
          <w:rFonts w:hint="eastAsia" w:ascii="黑体" w:hAnsi="黑体" w:eastAsia="黑体" w:cs="黑体"/>
          <w:b/>
          <w:bCs/>
          <w:sz w:val="44"/>
          <w:szCs w:val="44"/>
          <w:lang w:val="en-US" w:eastAsia="zh-CN"/>
        </w:rPr>
      </w:pPr>
      <w:bookmarkStart w:id="16" w:name="_Toc23894"/>
      <w:bookmarkStart w:id="17" w:name="_Toc18557"/>
      <w:bookmarkStart w:id="18" w:name="_Toc29844"/>
      <w:bookmarkStart w:id="19" w:name="_Toc9198"/>
      <w:r>
        <w:rPr>
          <w:rFonts w:hint="eastAsia" w:ascii="黑体" w:hAnsi="黑体" w:eastAsia="黑体" w:cs="黑体"/>
          <w:b/>
          <w:bCs/>
          <w:sz w:val="44"/>
          <w:szCs w:val="44"/>
          <w:lang w:val="en-US" w:eastAsia="zh-CN"/>
        </w:rPr>
        <w:t>2020年第三季度专利统计分析报告</w:t>
      </w:r>
      <w:bookmarkEnd w:id="16"/>
      <w:bookmarkEnd w:id="17"/>
      <w:bookmarkEnd w:id="18"/>
      <w:bookmarkEnd w:id="19"/>
    </w:p>
    <w:p>
      <w:pPr>
        <w:jc w:val="center"/>
        <w:rPr>
          <w:rFonts w:hint="eastAsia" w:ascii="黑体" w:hAnsi="黑体" w:eastAsia="黑体" w:cs="黑体"/>
          <w:b/>
          <w:bCs/>
          <w:sz w:val="44"/>
          <w:szCs w:val="44"/>
          <w:lang w:val="en-US" w:eastAsia="zh-CN"/>
        </w:rPr>
      </w:pPr>
    </w:p>
    <w:p>
      <w:pPr>
        <w:numPr>
          <w:ilvl w:val="0"/>
          <w:numId w:val="1"/>
        </w:numPr>
        <w:jc w:val="both"/>
        <w:outlineLvl w:val="0"/>
        <w:rPr>
          <w:rFonts w:hint="eastAsia" w:ascii="黑体" w:hAnsi="黑体" w:eastAsia="黑体" w:cs="黑体"/>
          <w:b/>
          <w:bCs/>
          <w:sz w:val="32"/>
          <w:szCs w:val="32"/>
          <w:lang w:val="en-US" w:eastAsia="zh-CN"/>
        </w:rPr>
      </w:pPr>
      <w:bookmarkStart w:id="20" w:name="_Toc276"/>
      <w:bookmarkStart w:id="21" w:name="_Toc13659"/>
      <w:r>
        <w:rPr>
          <w:rFonts w:hint="eastAsia" w:ascii="黑体" w:hAnsi="黑体" w:eastAsia="黑体" w:cs="黑体"/>
          <w:b/>
          <w:bCs/>
          <w:sz w:val="32"/>
          <w:szCs w:val="32"/>
          <w:lang w:val="en-US" w:eastAsia="zh-CN"/>
        </w:rPr>
        <w:t>专利数量分析</w:t>
      </w:r>
      <w:bookmarkEnd w:id="20"/>
      <w:bookmarkEnd w:id="21"/>
    </w:p>
    <w:p>
      <w:pPr>
        <w:spacing w:line="48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rPr>
        <w:t>通过</w:t>
      </w:r>
      <w:r>
        <w:rPr>
          <w:rFonts w:hint="eastAsia" w:ascii="仿宋" w:hAnsi="仿宋" w:eastAsia="仿宋" w:cs="仿宋"/>
          <w:sz w:val="28"/>
          <w:szCs w:val="28"/>
          <w:lang w:val="en-US" w:eastAsia="zh-CN"/>
        </w:rPr>
        <w:t>CNKI数据库和国家知识产权局专利检索及分析</w:t>
      </w:r>
      <w:r>
        <w:rPr>
          <w:rFonts w:hint="eastAsia" w:ascii="仿宋" w:hAnsi="仿宋" w:eastAsia="仿宋" w:cs="仿宋"/>
          <w:sz w:val="28"/>
          <w:szCs w:val="28"/>
        </w:rPr>
        <w:t>数据库检索，在20</w:t>
      </w:r>
      <w:r>
        <w:rPr>
          <w:rFonts w:hint="eastAsia" w:ascii="仿宋" w:hAnsi="仿宋" w:eastAsia="仿宋" w:cs="仿宋"/>
          <w:sz w:val="28"/>
          <w:szCs w:val="28"/>
          <w:lang w:val="en-US" w:eastAsia="zh-CN"/>
        </w:rPr>
        <w:t>20年第三季度</w:t>
      </w:r>
      <w:r>
        <w:rPr>
          <w:rFonts w:hint="eastAsia" w:ascii="仿宋" w:hAnsi="仿宋" w:eastAsia="仿宋" w:cs="仿宋"/>
          <w:sz w:val="28"/>
          <w:szCs w:val="28"/>
        </w:rPr>
        <w:t>，</w:t>
      </w:r>
      <w:r>
        <w:rPr>
          <w:rFonts w:hint="eastAsia" w:ascii="仿宋" w:hAnsi="仿宋" w:eastAsia="仿宋" w:cs="仿宋"/>
          <w:sz w:val="28"/>
          <w:szCs w:val="28"/>
          <w:lang w:val="en-US" w:eastAsia="zh-CN"/>
        </w:rPr>
        <w:t>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为申请人的专利公布公告18件</w:t>
      </w:r>
      <w:r>
        <w:rPr>
          <w:rFonts w:hint="eastAsia" w:ascii="仿宋" w:hAnsi="仿宋" w:eastAsia="仿宋" w:cs="仿宋"/>
          <w:sz w:val="28"/>
          <w:szCs w:val="28"/>
        </w:rPr>
        <w:t>，</w:t>
      </w:r>
      <w:r>
        <w:rPr>
          <w:rFonts w:hint="eastAsia" w:ascii="仿宋" w:hAnsi="仿宋" w:eastAsia="仿宋" w:cs="仿宋"/>
          <w:sz w:val="28"/>
          <w:szCs w:val="28"/>
          <w:lang w:val="en-US" w:eastAsia="zh-CN"/>
        </w:rPr>
        <w:t>具体分布情况见表1。2020年第三季度，我校申请专利总体趋于平稳，2020年8月为专利公布公告高峰，总体趋势见图1。</w:t>
      </w:r>
    </w:p>
    <w:p>
      <w:pPr>
        <w:widowControl w:val="0"/>
        <w:numPr>
          <w:ilvl w:val="0"/>
          <w:numId w:val="0"/>
        </w:numPr>
        <w:tabs>
          <w:tab w:val="left" w:pos="312"/>
        </w:tabs>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表1河北科技师范学院2020年第三季度专利情况统计表</w:t>
      </w:r>
    </w:p>
    <w:tbl>
      <w:tblPr>
        <w:tblStyle w:val="2"/>
        <w:tblW w:w="4999" w:type="pct"/>
        <w:jc w:val="center"/>
        <w:shd w:val="clear" w:color="auto" w:fill="auto"/>
        <w:tblLayout w:type="autofit"/>
        <w:tblCellMar>
          <w:top w:w="0" w:type="dxa"/>
          <w:left w:w="0" w:type="dxa"/>
          <w:bottom w:w="0" w:type="dxa"/>
          <w:right w:w="0" w:type="dxa"/>
        </w:tblCellMar>
      </w:tblPr>
      <w:tblGrid>
        <w:gridCol w:w="4419"/>
        <w:gridCol w:w="3915"/>
      </w:tblGrid>
      <w:tr>
        <w:tblPrEx>
          <w:tblCellMar>
            <w:top w:w="0" w:type="dxa"/>
            <w:left w:w="0" w:type="dxa"/>
            <w:bottom w:w="0" w:type="dxa"/>
            <w:right w:w="0" w:type="dxa"/>
          </w:tblCellMar>
        </w:tblPrEx>
        <w:trPr>
          <w:trHeight w:val="509"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公开日期</w:t>
            </w:r>
          </w:p>
        </w:tc>
        <w:tc>
          <w:tcPr>
            <w:tcW w:w="23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tblCellMar>
            <w:top w:w="0" w:type="dxa"/>
            <w:left w:w="0" w:type="dxa"/>
            <w:bottom w:w="0" w:type="dxa"/>
            <w:right w:w="0" w:type="dxa"/>
          </w:tblCellMar>
        </w:tblPrEx>
        <w:trPr>
          <w:trHeight w:val="500"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2020年7月</w:t>
            </w:r>
          </w:p>
        </w:tc>
        <w:tc>
          <w:tcPr>
            <w:tcW w:w="2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r>
      <w:tr>
        <w:tblPrEx>
          <w:tblCellMar>
            <w:top w:w="0" w:type="dxa"/>
            <w:left w:w="0" w:type="dxa"/>
            <w:bottom w:w="0" w:type="dxa"/>
            <w:right w:w="0" w:type="dxa"/>
          </w:tblCellMar>
        </w:tblPrEx>
        <w:trPr>
          <w:trHeight w:val="500"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2020年8月</w:t>
            </w:r>
          </w:p>
        </w:tc>
        <w:tc>
          <w:tcPr>
            <w:tcW w:w="2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11</w:t>
            </w:r>
          </w:p>
        </w:tc>
      </w:tr>
      <w:tr>
        <w:tblPrEx>
          <w:shd w:val="clear" w:color="auto" w:fill="auto"/>
          <w:tblCellMar>
            <w:top w:w="0" w:type="dxa"/>
            <w:left w:w="0" w:type="dxa"/>
            <w:bottom w:w="0" w:type="dxa"/>
            <w:right w:w="0" w:type="dxa"/>
          </w:tblCellMar>
        </w:tblPrEx>
        <w:trPr>
          <w:trHeight w:val="500"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2020年9月</w:t>
            </w:r>
          </w:p>
        </w:tc>
        <w:tc>
          <w:tcPr>
            <w:tcW w:w="2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总计</w:t>
            </w:r>
          </w:p>
        </w:tc>
        <w:tc>
          <w:tcPr>
            <w:tcW w:w="2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18</w:t>
            </w:r>
          </w:p>
        </w:tc>
      </w:tr>
    </w:tbl>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2020年第三季度专利总体趋势</w:t>
      </w: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spacing w:line="360" w:lineRule="auto"/>
        <w:ind w:firstLine="560" w:firstLineChars="200"/>
        <w:jc w:val="left"/>
        <w:rPr>
          <w:rFonts w:hint="default" w:ascii="仿宋" w:hAnsi="仿宋" w:eastAsia="仿宋" w:cs="仿宋"/>
          <w:sz w:val="28"/>
          <w:szCs w:val="28"/>
          <w:lang w:val="en-US" w:eastAsia="zh-CN"/>
        </w:rPr>
      </w:pPr>
    </w:p>
    <w:p>
      <w:pPr>
        <w:numPr>
          <w:ilvl w:val="0"/>
          <w:numId w:val="1"/>
        </w:numPr>
        <w:jc w:val="both"/>
        <w:outlineLvl w:val="0"/>
        <w:rPr>
          <w:rFonts w:hint="default" w:ascii="黑体" w:hAnsi="黑体" w:eastAsia="黑体" w:cs="黑体"/>
          <w:b/>
          <w:bCs/>
          <w:sz w:val="32"/>
          <w:szCs w:val="32"/>
          <w:lang w:val="en-US" w:eastAsia="zh-CN"/>
        </w:rPr>
      </w:pPr>
      <w:bookmarkStart w:id="22" w:name="_Toc14794"/>
      <w:bookmarkStart w:id="23" w:name="_Toc20090"/>
      <w:r>
        <w:rPr>
          <w:rFonts w:hint="eastAsia" w:ascii="黑体" w:hAnsi="黑体" w:eastAsia="黑体" w:cs="黑体"/>
          <w:b/>
          <w:bCs/>
          <w:sz w:val="32"/>
          <w:szCs w:val="32"/>
          <w:lang w:val="en-US" w:eastAsia="zh-CN"/>
        </w:rPr>
        <w:t>专利类别分析</w:t>
      </w:r>
      <w:bookmarkEnd w:id="22"/>
      <w:bookmarkEnd w:id="23"/>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综合分析2020年第三季度我校公布公告的专利类别，实用新型专利10件，发明公开专利6件，发明授权专利2件，具体情况参见图2。</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2020年第三季度专利类别分布</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spacing w:line="360" w:lineRule="auto"/>
        <w:ind w:firstLine="420" w:firstLineChars="200"/>
        <w:jc w:val="center"/>
      </w:pPr>
      <w:r>
        <w:drawing>
          <wp:inline distT="0" distB="0" distL="114300" distR="114300">
            <wp:extent cx="4572000" cy="2743200"/>
            <wp:effectExtent l="4445" t="4445" r="14605"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pacing w:line="360" w:lineRule="auto"/>
        <w:ind w:firstLine="420" w:firstLineChars="200"/>
        <w:jc w:val="center"/>
      </w:pPr>
    </w:p>
    <w:p>
      <w:pPr>
        <w:numPr>
          <w:ilvl w:val="0"/>
          <w:numId w:val="0"/>
        </w:numPr>
        <w:jc w:val="both"/>
        <w:outlineLvl w:val="0"/>
        <w:rPr>
          <w:rFonts w:hint="default" w:ascii="黑体" w:hAnsi="黑体" w:eastAsia="黑体" w:cs="黑体"/>
          <w:b/>
          <w:bCs/>
          <w:sz w:val="32"/>
          <w:szCs w:val="32"/>
          <w:lang w:val="en-US" w:eastAsia="zh-CN"/>
        </w:rPr>
      </w:pPr>
      <w:bookmarkStart w:id="24" w:name="_Toc13689"/>
      <w:bookmarkStart w:id="25" w:name="_Toc24100"/>
      <w:r>
        <w:rPr>
          <w:rFonts w:hint="eastAsia" w:ascii="黑体" w:hAnsi="黑体" w:eastAsia="黑体" w:cs="黑体"/>
          <w:b/>
          <w:bCs/>
          <w:sz w:val="32"/>
          <w:szCs w:val="32"/>
          <w:lang w:val="en-US" w:eastAsia="zh-CN"/>
        </w:rPr>
        <w:t>3.学科分析</w:t>
      </w:r>
      <w:bookmarkEnd w:id="24"/>
      <w:bookmarkEnd w:id="25"/>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综合分析2020年第三季度我校公布公告的专利学科关系，占比较多的学科有：轻工业手工业4件，农艺学2件，生物医学工程2件，具体详情参见图3。</w:t>
      </w:r>
    </w:p>
    <w:p>
      <w:pPr>
        <w:numPr>
          <w:ilvl w:val="0"/>
          <w:numId w:val="0"/>
        </w:numPr>
        <w:jc w:val="both"/>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2020上半年专利学科分布</w:t>
      </w:r>
    </w:p>
    <w:p>
      <w:pPr>
        <w:numPr>
          <w:ilvl w:val="0"/>
          <w:numId w:val="0"/>
        </w:numPr>
        <w:jc w:val="center"/>
        <w:rPr>
          <w:rFonts w:hint="default" w:ascii="仿宋" w:hAnsi="仿宋" w:eastAsia="仿宋" w:cs="仿宋"/>
          <w:b/>
          <w:bCs/>
          <w:color w:val="000000"/>
          <w:kern w:val="0"/>
          <w:sz w:val="24"/>
          <w:szCs w:val="24"/>
          <w:lang w:val="en-US" w:eastAsia="zh-CN" w:bidi="ar"/>
        </w:rPr>
      </w:pPr>
    </w:p>
    <w:p>
      <w:pPr>
        <w:jc w:val="center"/>
      </w:pPr>
      <w:r>
        <w:drawing>
          <wp:inline distT="0" distB="0" distL="114300" distR="114300">
            <wp:extent cx="4572000" cy="2743200"/>
            <wp:effectExtent l="4445" t="4445" r="14605" b="14605"/>
            <wp:docPr id="9"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jc w:val="center"/>
      </w:pPr>
    </w:p>
    <w:p>
      <w:pPr>
        <w:numPr>
          <w:ilvl w:val="0"/>
          <w:numId w:val="0"/>
        </w:numPr>
        <w:jc w:val="both"/>
        <w:outlineLvl w:val="0"/>
        <w:rPr>
          <w:rFonts w:hint="default" w:ascii="黑体" w:hAnsi="黑体" w:eastAsia="黑体" w:cs="黑体"/>
          <w:b/>
          <w:bCs/>
          <w:sz w:val="32"/>
          <w:szCs w:val="32"/>
          <w:lang w:val="en-US" w:eastAsia="zh-CN"/>
        </w:rPr>
      </w:pPr>
      <w:bookmarkStart w:id="26" w:name="_Toc20395"/>
      <w:bookmarkStart w:id="27" w:name="_Toc28548"/>
      <w:r>
        <w:rPr>
          <w:rFonts w:hint="eastAsia" w:ascii="黑体" w:hAnsi="黑体" w:eastAsia="黑体" w:cs="黑体"/>
          <w:b/>
          <w:bCs/>
          <w:sz w:val="32"/>
          <w:szCs w:val="32"/>
          <w:lang w:val="en-US" w:eastAsia="zh-CN"/>
        </w:rPr>
        <w:t>4.主题词分析</w:t>
      </w:r>
      <w:bookmarkEnd w:id="26"/>
      <w:bookmarkEnd w:id="27"/>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年第三季度我校公布公告的专利主题词，主要主题词分布中，消毒装置、制备方法等主题词词出现频率较高；次要主题词分布中，固定连接主题词出现频率较高。主要主题词和次要主题词的具体分布详情参见图4、图5。</w:t>
      </w: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2020年第三季度专利主要主题词分布</w:t>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center"/>
        <w:rPr>
          <w:rFonts w:hint="eastAsia" w:ascii="仿宋" w:hAnsi="仿宋" w:eastAsia="仿宋" w:cs="仿宋"/>
          <w:b/>
          <w:bCs/>
          <w:sz w:val="24"/>
          <w:szCs w:val="24"/>
          <w:lang w:val="en-US" w:eastAsia="zh-CN"/>
        </w:rPr>
      </w:pPr>
      <w:r>
        <w:drawing>
          <wp:inline distT="0" distB="0" distL="114300" distR="114300">
            <wp:extent cx="4572000" cy="2952115"/>
            <wp:effectExtent l="4445" t="4445" r="14605" b="15240"/>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2020年第三季度专利次要主题词分布</w:t>
      </w:r>
    </w:p>
    <w:p>
      <w:pPr>
        <w:numPr>
          <w:ilvl w:val="0"/>
          <w:numId w:val="0"/>
        </w:numPr>
        <w:jc w:val="center"/>
        <w:rPr>
          <w:rFonts w:hint="eastAsia" w:ascii="仿宋" w:hAnsi="仿宋" w:eastAsia="仿宋" w:cs="仿宋"/>
          <w:b/>
          <w:bCs/>
          <w:color w:val="000000"/>
          <w:kern w:val="0"/>
          <w:sz w:val="24"/>
          <w:szCs w:val="24"/>
          <w:lang w:val="en-US" w:eastAsia="zh-CN" w:bidi="ar"/>
        </w:rPr>
      </w:pPr>
      <w:r>
        <w:drawing>
          <wp:inline distT="0" distB="0" distL="114300" distR="114300">
            <wp:extent cx="4592955" cy="2827655"/>
            <wp:effectExtent l="4445" t="5080" r="12700" b="571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jc w:val="both"/>
      </w:pPr>
    </w:p>
    <w:p>
      <w:pPr>
        <w:numPr>
          <w:ilvl w:val="0"/>
          <w:numId w:val="2"/>
        </w:numPr>
        <w:jc w:val="both"/>
        <w:outlineLvl w:val="0"/>
        <w:rPr>
          <w:rFonts w:hint="eastAsia" w:ascii="黑体" w:hAnsi="黑体" w:eastAsia="黑体" w:cs="黑体"/>
          <w:b/>
          <w:bCs/>
          <w:sz w:val="32"/>
          <w:szCs w:val="32"/>
          <w:lang w:val="en-US" w:eastAsia="zh-CN"/>
        </w:rPr>
      </w:pPr>
      <w:bookmarkStart w:id="28" w:name="_Toc17910"/>
      <w:bookmarkStart w:id="29" w:name="_Toc7493"/>
      <w:r>
        <w:rPr>
          <w:rFonts w:hint="eastAsia" w:ascii="黑体" w:hAnsi="黑体" w:eastAsia="黑体" w:cs="黑体"/>
          <w:b/>
          <w:bCs/>
          <w:sz w:val="32"/>
          <w:szCs w:val="32"/>
          <w:lang w:val="en-US" w:eastAsia="zh-CN"/>
        </w:rPr>
        <w:t>发明人分析</w:t>
      </w:r>
      <w:bookmarkEnd w:id="28"/>
      <w:bookmarkEnd w:id="29"/>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综合分析2020年第三季度我校公布公告的专利发明人，</w:t>
      </w:r>
      <w:r>
        <w:rPr>
          <w:rFonts w:hint="default" w:ascii="仿宋" w:hAnsi="仿宋" w:eastAsia="仿宋" w:cs="仿宋"/>
          <w:sz w:val="28"/>
          <w:szCs w:val="28"/>
          <w:lang w:val="en-US" w:eastAsia="zh-CN"/>
        </w:rPr>
        <w:t>发明人总计</w:t>
      </w:r>
      <w:r>
        <w:rPr>
          <w:rFonts w:hint="eastAsia" w:ascii="仿宋" w:hAnsi="仿宋" w:eastAsia="仿宋" w:cs="仿宋"/>
          <w:sz w:val="28"/>
          <w:szCs w:val="28"/>
          <w:lang w:val="en-US" w:eastAsia="zh-CN"/>
        </w:rPr>
        <w:t>77</w:t>
      </w:r>
      <w:r>
        <w:rPr>
          <w:rFonts w:hint="default" w:ascii="仿宋" w:hAnsi="仿宋" w:eastAsia="仿宋" w:cs="仿宋"/>
          <w:sz w:val="28"/>
          <w:szCs w:val="28"/>
          <w:lang w:val="en-US" w:eastAsia="zh-CN"/>
        </w:rPr>
        <w:t>人，参与两件专利以上的</w:t>
      </w:r>
      <w:r>
        <w:rPr>
          <w:rFonts w:hint="eastAsia" w:ascii="仿宋" w:hAnsi="仿宋" w:eastAsia="仿宋" w:cs="仿宋"/>
          <w:sz w:val="28"/>
          <w:szCs w:val="28"/>
          <w:lang w:val="en-US" w:eastAsia="zh-CN"/>
        </w:rPr>
        <w:t>发明人</w:t>
      </w:r>
      <w:r>
        <w:rPr>
          <w:rFonts w:hint="default" w:ascii="仿宋" w:hAnsi="仿宋" w:eastAsia="仿宋" w:cs="仿宋"/>
          <w:sz w:val="28"/>
          <w:szCs w:val="28"/>
          <w:lang w:val="en-US" w:eastAsia="zh-CN"/>
        </w:rPr>
        <w:t>有</w:t>
      </w:r>
      <w:r>
        <w:rPr>
          <w:rFonts w:hint="eastAsia" w:ascii="仿宋" w:hAnsi="仿宋" w:eastAsia="仿宋" w:cs="仿宋"/>
          <w:sz w:val="28"/>
          <w:szCs w:val="28"/>
          <w:lang w:val="en-US" w:eastAsia="zh-CN"/>
        </w:rPr>
        <w:t>19</w:t>
      </w:r>
      <w:r>
        <w:rPr>
          <w:rFonts w:hint="default" w:ascii="仿宋" w:hAnsi="仿宋" w:eastAsia="仿宋" w:cs="仿宋"/>
          <w:sz w:val="28"/>
          <w:szCs w:val="28"/>
          <w:lang w:val="en-US" w:eastAsia="zh-CN"/>
        </w:rPr>
        <w:t>人</w:t>
      </w:r>
      <w:r>
        <w:rPr>
          <w:rFonts w:hint="eastAsia" w:ascii="仿宋" w:hAnsi="仿宋" w:eastAsia="仿宋" w:cs="仿宋"/>
          <w:sz w:val="28"/>
          <w:szCs w:val="28"/>
          <w:lang w:val="en-US" w:eastAsia="zh-CN"/>
        </w:rPr>
        <w:t>，具体情况参见表2。</w:t>
      </w:r>
    </w:p>
    <w:p>
      <w:p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2020年第三季度专利发明人统</w:t>
      </w:r>
      <w:r>
        <w:rPr>
          <w:rFonts w:hint="eastAsia" w:ascii="仿宋" w:hAnsi="仿宋" w:eastAsia="仿宋" w:cs="仿宋"/>
          <w:b/>
          <w:bCs/>
          <w:color w:val="000000"/>
          <w:kern w:val="0"/>
          <w:sz w:val="24"/>
          <w:szCs w:val="24"/>
          <w:lang w:bidi="ar"/>
        </w:rPr>
        <w:t>计表</w:t>
      </w:r>
    </w:p>
    <w:tbl>
      <w:tblPr>
        <w:tblStyle w:val="2"/>
        <w:tblW w:w="4998" w:type="pct"/>
        <w:tblInd w:w="0" w:type="dxa"/>
        <w:shd w:val="clear" w:color="auto" w:fill="auto"/>
        <w:tblLayout w:type="autofit"/>
        <w:tblCellMar>
          <w:top w:w="0" w:type="dxa"/>
          <w:left w:w="0" w:type="dxa"/>
          <w:bottom w:w="0" w:type="dxa"/>
          <w:right w:w="0" w:type="dxa"/>
        </w:tblCellMar>
      </w:tblPr>
      <w:tblGrid>
        <w:gridCol w:w="1388"/>
        <w:gridCol w:w="1389"/>
        <w:gridCol w:w="1389"/>
        <w:gridCol w:w="1389"/>
        <w:gridCol w:w="1389"/>
        <w:gridCol w:w="1389"/>
      </w:tblGrid>
      <w:tr>
        <w:tblPrEx>
          <w:shd w:val="clear" w:color="auto" w:fill="auto"/>
          <w:tblCellMar>
            <w:top w:w="0" w:type="dxa"/>
            <w:left w:w="0" w:type="dxa"/>
            <w:bottom w:w="0" w:type="dxa"/>
            <w:right w:w="0" w:type="dxa"/>
          </w:tblCellMar>
        </w:tblPrEx>
        <w:trPr>
          <w:trHeight w:val="500" w:hRule="atLeast"/>
        </w:trPr>
        <w:tc>
          <w:tcPr>
            <w:tcW w:w="83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83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c>
          <w:tcPr>
            <w:tcW w:w="83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83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r>
      <w:tr>
        <w:tblPrEx>
          <w:shd w:val="clear" w:color="auto" w:fill="auto"/>
          <w:tblCellMar>
            <w:top w:w="0" w:type="dxa"/>
            <w:left w:w="0" w:type="dxa"/>
            <w:bottom w:w="0" w:type="dxa"/>
            <w:right w:w="0" w:type="dxa"/>
          </w:tblCellMar>
        </w:tblPrEx>
        <w:trPr>
          <w:trHeight w:val="500" w:hRule="atLeast"/>
        </w:trPr>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石磊</w:t>
            </w:r>
          </w:p>
        </w:tc>
        <w:tc>
          <w:tcPr>
            <w:tcW w:w="833" w:type="pct"/>
            <w:tcBorders>
              <w:top w:val="single" w:color="000000" w:sz="4" w:space="0"/>
              <w:left w:val="nil"/>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史秋梅</w:t>
            </w:r>
          </w:p>
        </w:tc>
        <w:tc>
          <w:tcPr>
            <w:tcW w:w="833" w:type="pct"/>
            <w:tcBorders>
              <w:top w:val="single" w:color="000000" w:sz="4" w:space="0"/>
              <w:left w:val="nil"/>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高桂生</w:t>
            </w:r>
          </w:p>
        </w:tc>
        <w:tc>
          <w:tcPr>
            <w:tcW w:w="833"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王东升</w:t>
            </w:r>
          </w:p>
        </w:tc>
        <w:tc>
          <w:tcPr>
            <w:tcW w:w="833"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陈芳</w:t>
            </w:r>
          </w:p>
        </w:tc>
        <w:tc>
          <w:tcPr>
            <w:tcW w:w="833" w:type="pct"/>
            <w:tcBorders>
              <w:top w:val="single" w:color="000000" w:sz="4" w:space="0"/>
              <w:left w:val="nil"/>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吴同垒</w:t>
            </w:r>
          </w:p>
        </w:tc>
        <w:tc>
          <w:tcPr>
            <w:tcW w:w="833" w:type="pct"/>
            <w:tcBorders>
              <w:top w:val="single" w:color="000000" w:sz="4" w:space="0"/>
              <w:left w:val="nil"/>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邓春岩</w:t>
            </w:r>
          </w:p>
        </w:tc>
        <w:tc>
          <w:tcPr>
            <w:tcW w:w="833"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杨阳</w:t>
            </w:r>
          </w:p>
        </w:tc>
        <w:tc>
          <w:tcPr>
            <w:tcW w:w="833"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杜万年</w:t>
            </w:r>
          </w:p>
        </w:tc>
        <w:tc>
          <w:tcPr>
            <w:tcW w:w="833" w:type="pct"/>
            <w:tcBorders>
              <w:top w:val="single" w:color="000000" w:sz="4" w:space="0"/>
              <w:left w:val="nil"/>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杨志刚</w:t>
            </w:r>
          </w:p>
        </w:tc>
        <w:tc>
          <w:tcPr>
            <w:tcW w:w="833" w:type="pct"/>
            <w:tcBorders>
              <w:top w:val="single" w:color="000000" w:sz="4" w:space="0"/>
              <w:left w:val="nil"/>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高光平</w:t>
            </w:r>
          </w:p>
        </w:tc>
        <w:tc>
          <w:tcPr>
            <w:tcW w:w="833"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于秀剑</w:t>
            </w:r>
          </w:p>
        </w:tc>
        <w:tc>
          <w:tcPr>
            <w:tcW w:w="833"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靳常敏</w:t>
            </w:r>
          </w:p>
        </w:tc>
        <w:tc>
          <w:tcPr>
            <w:tcW w:w="833" w:type="pct"/>
            <w:tcBorders>
              <w:top w:val="single" w:color="000000" w:sz="4" w:space="0"/>
              <w:left w:val="nil"/>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张京政</w:t>
            </w:r>
          </w:p>
        </w:tc>
        <w:tc>
          <w:tcPr>
            <w:tcW w:w="833" w:type="pct"/>
            <w:tcBorders>
              <w:top w:val="single" w:color="000000" w:sz="4" w:space="0"/>
              <w:left w:val="nil"/>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刘勃兴</w:t>
            </w:r>
          </w:p>
        </w:tc>
        <w:tc>
          <w:tcPr>
            <w:tcW w:w="833"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18</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张召兴</w:t>
            </w:r>
          </w:p>
        </w:tc>
        <w:tc>
          <w:tcPr>
            <w:tcW w:w="833"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柳翠翠</w:t>
            </w:r>
          </w:p>
        </w:tc>
        <w:tc>
          <w:tcPr>
            <w:tcW w:w="833" w:type="pct"/>
            <w:tcBorders>
              <w:top w:val="single" w:color="000000" w:sz="4" w:space="0"/>
              <w:left w:val="nil"/>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19</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张志强</w:t>
            </w:r>
          </w:p>
        </w:tc>
        <w:tc>
          <w:tcPr>
            <w:tcW w:w="833" w:type="pct"/>
            <w:tcBorders>
              <w:top w:val="single" w:color="000000" w:sz="4" w:space="0"/>
              <w:left w:val="nil"/>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齐永顺</w:t>
            </w:r>
          </w:p>
        </w:tc>
        <w:tc>
          <w:tcPr>
            <w:tcW w:w="833"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仿宋" w:hAnsi="仿宋" w:eastAsia="仿宋" w:cs="仿宋"/>
                <w:i w:val="0"/>
                <w:color w:val="000000"/>
                <w:sz w:val="24"/>
                <w:szCs w:val="24"/>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仿宋" w:hAnsi="仿宋" w:eastAsia="仿宋" w:cs="仿宋"/>
                <w:i w:val="0"/>
                <w:color w:val="000000"/>
                <w:sz w:val="24"/>
                <w:szCs w:val="24"/>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仿宋" w:hAnsi="仿宋" w:eastAsia="仿宋" w:cs="仿宋"/>
                <w:i w:val="0"/>
                <w:color w:val="000000"/>
                <w:sz w:val="24"/>
                <w:szCs w:val="24"/>
                <w:u w:val="none"/>
              </w:rPr>
            </w:pPr>
          </w:p>
        </w:tc>
      </w:tr>
    </w:tbl>
    <w:p>
      <w:pPr>
        <w:numPr>
          <w:ilvl w:val="0"/>
          <w:numId w:val="0"/>
        </w:numPr>
        <w:jc w:val="both"/>
        <w:outlineLvl w:val="0"/>
        <w:rPr>
          <w:rFonts w:hint="eastAsia" w:ascii="黑体" w:hAnsi="黑体" w:eastAsia="黑体" w:cs="黑体"/>
          <w:b/>
          <w:bCs/>
          <w:sz w:val="32"/>
          <w:szCs w:val="32"/>
          <w:lang w:val="en-US" w:eastAsia="zh-CN"/>
        </w:rPr>
      </w:pPr>
      <w:bookmarkStart w:id="30" w:name="_Toc32729"/>
      <w:bookmarkStart w:id="31" w:name="_Toc21529"/>
      <w:r>
        <w:rPr>
          <w:rFonts w:hint="eastAsia" w:ascii="黑体" w:hAnsi="黑体" w:eastAsia="黑体" w:cs="黑体"/>
          <w:b/>
          <w:bCs/>
          <w:sz w:val="32"/>
          <w:szCs w:val="32"/>
          <w:lang w:val="en-US" w:eastAsia="zh-CN"/>
        </w:rPr>
        <w:t>6.申请机构分析</w:t>
      </w:r>
      <w:bookmarkEnd w:id="30"/>
      <w:bookmarkEnd w:id="31"/>
    </w:p>
    <w:p>
      <w:pPr>
        <w:numPr>
          <w:ilvl w:val="0"/>
          <w:numId w:val="0"/>
        </w:numPr>
        <w:spacing w:line="480" w:lineRule="auto"/>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综合分析2020年第三季度我校公布公告的专利申请机构，河北科技师范学院申请专利15件，占比83.33%；河北科技师范学院联合其他机构申请专利3件，占比16.67%；具体分布参见图6。</w:t>
      </w:r>
    </w:p>
    <w:p>
      <w:pPr>
        <w:numPr>
          <w:ilvl w:val="0"/>
          <w:numId w:val="0"/>
        </w:num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图6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2020年第三季度专利申请机构分布</w:t>
      </w:r>
    </w:p>
    <w:p>
      <w:pPr>
        <w:jc w:val="center"/>
      </w:pPr>
      <w:r>
        <w:drawing>
          <wp:inline distT="0" distB="0" distL="114300" distR="114300">
            <wp:extent cx="4933950" cy="2800350"/>
            <wp:effectExtent l="0" t="0" r="0" b="0"/>
            <wp:docPr id="6" name="图片 5" descr="申请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申请机构"/>
                    <pic:cNvPicPr>
                      <a:picLocks noChangeAspect="1"/>
                    </pic:cNvPicPr>
                  </pic:nvPicPr>
                  <pic:blipFill>
                    <a:blip r:embed="rId11"/>
                    <a:stretch>
                      <a:fillRect/>
                    </a:stretch>
                  </pic:blipFill>
                  <pic:spPr>
                    <a:xfrm>
                      <a:off x="0" y="0"/>
                      <a:ext cx="4933950" cy="2800350"/>
                    </a:xfrm>
                    <a:prstGeom prst="rect">
                      <a:avLst/>
                    </a:prstGeom>
                  </pic:spPr>
                </pic:pic>
              </a:graphicData>
            </a:graphic>
          </wp:inline>
        </w:drawing>
      </w:r>
      <w:bookmarkStart w:id="32" w:name="_Toc17336"/>
    </w:p>
    <w:p>
      <w:pPr>
        <w:jc w:val="center"/>
        <w:rPr>
          <w:rFonts w:hint="eastAsia"/>
          <w:lang w:val="en-US" w:eastAsia="zh-CN"/>
        </w:rPr>
      </w:pPr>
    </w:p>
    <w:p>
      <w:pPr>
        <w:numPr>
          <w:ilvl w:val="0"/>
          <w:numId w:val="0"/>
        </w:numPr>
        <w:ind w:leftChars="0"/>
        <w:jc w:val="both"/>
        <w:outlineLvl w:val="0"/>
        <w:rPr>
          <w:rFonts w:hint="eastAsia" w:ascii="黑体" w:hAnsi="黑体" w:eastAsia="黑体" w:cs="黑体"/>
          <w:b/>
          <w:bCs/>
          <w:sz w:val="32"/>
          <w:szCs w:val="32"/>
          <w:lang w:val="en-US" w:eastAsia="zh-CN"/>
        </w:rPr>
      </w:pPr>
      <w:bookmarkStart w:id="33" w:name="_Toc13350"/>
      <w:r>
        <w:rPr>
          <w:rFonts w:hint="eastAsia" w:ascii="黑体" w:hAnsi="黑体" w:eastAsia="黑体" w:cs="黑体"/>
          <w:b/>
          <w:bCs/>
          <w:sz w:val="32"/>
          <w:szCs w:val="32"/>
          <w:lang w:val="en-US" w:eastAsia="zh-CN"/>
        </w:rPr>
        <w:t>7.代理机构分析</w:t>
      </w:r>
      <w:bookmarkEnd w:id="32"/>
      <w:bookmarkEnd w:id="33"/>
    </w:p>
    <w:p>
      <w:pPr>
        <w:spacing w:line="480" w:lineRule="auto"/>
        <w:ind w:firstLine="560" w:firstLineChars="200"/>
        <w:jc w:val="both"/>
        <w:rPr>
          <w:rFonts w:hint="default"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综合分析2020年第三季度我校公布公告的18件专利，代理申请机构共13家，其中北京慕达星云知识产权代理事务所代理申请专利3件，数量最多，具体代理机构分布参见表3。</w:t>
      </w:r>
    </w:p>
    <w:p>
      <w:p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2020年第三季度专利代理机构统</w:t>
      </w:r>
      <w:r>
        <w:rPr>
          <w:rFonts w:hint="eastAsia" w:ascii="仿宋" w:hAnsi="仿宋" w:eastAsia="仿宋" w:cs="仿宋"/>
          <w:b/>
          <w:bCs/>
          <w:color w:val="000000"/>
          <w:kern w:val="0"/>
          <w:sz w:val="24"/>
          <w:szCs w:val="24"/>
          <w:lang w:bidi="ar"/>
        </w:rPr>
        <w:t>计表</w:t>
      </w:r>
    </w:p>
    <w:tbl>
      <w:tblPr>
        <w:tblStyle w:val="2"/>
        <w:tblW w:w="4999" w:type="pct"/>
        <w:tblInd w:w="0" w:type="dxa"/>
        <w:shd w:val="clear" w:color="auto" w:fill="auto"/>
        <w:tblLayout w:type="autofit"/>
        <w:tblCellMar>
          <w:top w:w="0" w:type="dxa"/>
          <w:left w:w="0" w:type="dxa"/>
          <w:bottom w:w="0" w:type="dxa"/>
          <w:right w:w="0" w:type="dxa"/>
        </w:tblCellMar>
      </w:tblPr>
      <w:tblGrid>
        <w:gridCol w:w="1499"/>
        <w:gridCol w:w="5336"/>
        <w:gridCol w:w="1499"/>
      </w:tblGrid>
      <w:tr>
        <w:tblPrEx>
          <w:shd w:val="clear" w:color="auto" w:fill="auto"/>
          <w:tblCellMar>
            <w:top w:w="0" w:type="dxa"/>
            <w:left w:w="0" w:type="dxa"/>
            <w:bottom w:w="0" w:type="dxa"/>
            <w:right w:w="0" w:type="dxa"/>
          </w:tblCellMar>
        </w:tblPrEx>
        <w:trPr>
          <w:trHeight w:val="500" w:hRule="atLeast"/>
        </w:trPr>
        <w:tc>
          <w:tcPr>
            <w:tcW w:w="89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b/>
                <w:bCs w:val="0"/>
                <w:i w:val="0"/>
                <w:color w:val="FFFFFF" w:themeColor="background1"/>
                <w:sz w:val="24"/>
                <w:szCs w:val="24"/>
                <w:u w:val="none"/>
                <w14:textFill>
                  <w14:solidFill>
                    <w14:schemeClr w14:val="bg1"/>
                  </w14:solidFill>
                </w14:textFill>
              </w:rPr>
            </w:pPr>
            <w:r>
              <w:rPr>
                <w:rFonts w:hint="eastAsia" w:ascii="仿宋" w:hAnsi="仿宋" w:eastAsia="仿宋" w:cs="仿宋"/>
                <w:b/>
                <w:bCs w:val="0"/>
                <w:i w:val="0"/>
                <w:color w:val="FFFFFF" w:themeColor="background1"/>
                <w:kern w:val="0"/>
                <w:sz w:val="24"/>
                <w:szCs w:val="24"/>
                <w:u w:val="none"/>
                <w:lang w:val="en-US" w:eastAsia="zh-CN" w:bidi="ar"/>
                <w14:textFill>
                  <w14:solidFill>
                    <w14:schemeClr w14:val="bg1"/>
                  </w14:solidFill>
                </w14:textFill>
              </w:rPr>
              <w:t>序号</w:t>
            </w:r>
          </w:p>
        </w:tc>
        <w:tc>
          <w:tcPr>
            <w:tcW w:w="320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val="0"/>
                <w:i w:val="0"/>
                <w:color w:val="FFFFFF" w:themeColor="background1"/>
                <w:sz w:val="24"/>
                <w:szCs w:val="24"/>
                <w:u w:val="none"/>
                <w14:textFill>
                  <w14:solidFill>
                    <w14:schemeClr w14:val="bg1"/>
                  </w14:solidFill>
                </w14:textFill>
              </w:rPr>
            </w:pPr>
            <w:r>
              <w:rPr>
                <w:rFonts w:hint="eastAsia" w:ascii="仿宋" w:hAnsi="仿宋" w:eastAsia="仿宋" w:cs="仿宋"/>
                <w:b/>
                <w:bCs w:val="0"/>
                <w:i w:val="0"/>
                <w:color w:val="FFFFFF" w:themeColor="background1"/>
                <w:kern w:val="0"/>
                <w:sz w:val="24"/>
                <w:szCs w:val="24"/>
                <w:u w:val="none"/>
                <w:lang w:val="en-US" w:eastAsia="zh-CN" w:bidi="ar"/>
                <w14:textFill>
                  <w14:solidFill>
                    <w14:schemeClr w14:val="bg1"/>
                  </w14:solidFill>
                </w14:textFill>
              </w:rPr>
              <w:t>代理机构</w:t>
            </w:r>
          </w:p>
        </w:tc>
        <w:tc>
          <w:tcPr>
            <w:tcW w:w="89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val="0"/>
                <w:i w:val="0"/>
                <w:color w:val="FFFFFF" w:themeColor="background1"/>
                <w:sz w:val="24"/>
                <w:szCs w:val="24"/>
                <w:u w:val="none"/>
                <w14:textFill>
                  <w14:solidFill>
                    <w14:schemeClr w14:val="bg1"/>
                  </w14:solidFill>
                </w14:textFill>
              </w:rPr>
            </w:pPr>
            <w:r>
              <w:rPr>
                <w:rFonts w:hint="eastAsia" w:ascii="仿宋" w:hAnsi="仿宋" w:eastAsia="仿宋" w:cs="仿宋"/>
                <w:b/>
                <w:bCs w:val="0"/>
                <w:i w:val="0"/>
                <w:color w:val="FFFFFF" w:themeColor="background1"/>
                <w:kern w:val="0"/>
                <w:sz w:val="24"/>
                <w:szCs w:val="24"/>
                <w:u w:val="none"/>
                <w:lang w:val="en-US" w:eastAsia="zh-CN" w:bidi="ar"/>
                <w14:textFill>
                  <w14:solidFill>
                    <w14:schemeClr w14:val="bg1"/>
                  </w14:solidFill>
                </w14:textFill>
              </w:rPr>
              <w:t>专利数量</w:t>
            </w:r>
          </w:p>
        </w:tc>
      </w:tr>
      <w:tr>
        <w:tblPrEx>
          <w:shd w:val="clear" w:color="auto" w:fill="auto"/>
          <w:tblCellMar>
            <w:top w:w="0" w:type="dxa"/>
            <w:left w:w="0" w:type="dxa"/>
            <w:bottom w:w="0" w:type="dxa"/>
            <w:right w:w="0" w:type="dxa"/>
          </w:tblCellMar>
        </w:tblPrEx>
        <w:trPr>
          <w:trHeight w:val="500" w:hRule="atLeast"/>
        </w:trPr>
        <w:tc>
          <w:tcPr>
            <w:tcW w:w="89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320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北京慕达星云知识产权代理事务所</w:t>
            </w:r>
          </w:p>
        </w:tc>
        <w:tc>
          <w:tcPr>
            <w:tcW w:w="89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8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320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北京君泊知识产权代理有限公司</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9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320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北京中济纬天专利代理有限公司</w:t>
            </w:r>
          </w:p>
        </w:tc>
        <w:tc>
          <w:tcPr>
            <w:tcW w:w="89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320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唐山顺诚专利事务所</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9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320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北京艾皮专利代理有限公司</w:t>
            </w:r>
          </w:p>
        </w:tc>
        <w:tc>
          <w:tcPr>
            <w:tcW w:w="89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8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320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北京超凡志成知识产权代理事务所</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89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3200" w:type="pct"/>
            <w:tcBorders>
              <w:top w:val="nil"/>
              <w:left w:val="nil"/>
              <w:bottom w:val="nil"/>
              <w:right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北京高沃律师事务所</w:t>
            </w:r>
          </w:p>
        </w:tc>
        <w:tc>
          <w:tcPr>
            <w:tcW w:w="89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8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320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北京科亿知识产权代理事务所</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89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320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北京睿智保诚专利代理事务所</w:t>
            </w:r>
          </w:p>
        </w:tc>
        <w:tc>
          <w:tcPr>
            <w:tcW w:w="89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500" w:hRule="atLeast"/>
        </w:trPr>
        <w:tc>
          <w:tcPr>
            <w:tcW w:w="8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3200" w:type="pct"/>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北京一格知识产权代理事务所</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89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320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北京中仟知识产权代理事务所</w:t>
            </w:r>
          </w:p>
        </w:tc>
        <w:tc>
          <w:tcPr>
            <w:tcW w:w="89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8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320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哈尔滨市文洋专利代理事务所</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89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320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无锡睿升知识产权代理事务所</w:t>
            </w:r>
          </w:p>
        </w:tc>
        <w:tc>
          <w:tcPr>
            <w:tcW w:w="89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bl>
    <w:p>
      <w:pPr>
        <w:jc w:val="center"/>
        <w:rPr>
          <w:rFonts w:hint="eastAsia" w:ascii="仿宋" w:hAnsi="仿宋" w:eastAsia="仿宋" w:cs="仿宋"/>
          <w:sz w:val="24"/>
          <w:szCs w:val="24"/>
        </w:rPr>
      </w:pPr>
    </w:p>
    <w:p>
      <w:pPr>
        <w:numPr>
          <w:ilvl w:val="0"/>
          <w:numId w:val="0"/>
        </w:numPr>
        <w:ind w:leftChars="0"/>
        <w:jc w:val="both"/>
        <w:outlineLvl w:val="0"/>
        <w:rPr>
          <w:rFonts w:hint="default" w:ascii="黑体" w:hAnsi="黑体" w:eastAsia="黑体" w:cs="黑体"/>
          <w:b/>
          <w:bCs/>
          <w:sz w:val="32"/>
          <w:szCs w:val="32"/>
          <w:lang w:val="en-US" w:eastAsia="zh-CN"/>
        </w:rPr>
      </w:pPr>
      <w:bookmarkStart w:id="34" w:name="_Toc7187"/>
      <w:bookmarkStart w:id="35" w:name="_Toc26617"/>
      <w:r>
        <w:rPr>
          <w:rFonts w:hint="eastAsia" w:ascii="黑体" w:hAnsi="黑体" w:eastAsia="黑体" w:cs="黑体"/>
          <w:b/>
          <w:bCs/>
          <w:sz w:val="32"/>
          <w:szCs w:val="32"/>
          <w:lang w:val="en-US" w:eastAsia="zh-CN"/>
        </w:rPr>
        <w:t>8.综合分析</w:t>
      </w:r>
      <w:bookmarkEnd w:id="34"/>
      <w:bookmarkEnd w:id="35"/>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综上，本报告分析了</w:t>
      </w:r>
      <w:r>
        <w:rPr>
          <w:rFonts w:hint="eastAsia" w:ascii="仿宋" w:hAnsi="仿宋" w:eastAsia="仿宋" w:cs="仿宋"/>
          <w:sz w:val="28"/>
          <w:szCs w:val="28"/>
        </w:rPr>
        <w:t>20</w:t>
      </w:r>
      <w:r>
        <w:rPr>
          <w:rFonts w:hint="eastAsia" w:ascii="仿宋" w:hAnsi="仿宋" w:eastAsia="仿宋" w:cs="仿宋"/>
          <w:sz w:val="28"/>
          <w:szCs w:val="28"/>
          <w:lang w:val="en-US" w:eastAsia="zh-CN"/>
        </w:rPr>
        <w:t>20年第三季度以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为申请人公布公告的专利</w:t>
      </w:r>
      <w:r>
        <w:rPr>
          <w:rFonts w:hint="eastAsia" w:ascii="仿宋" w:hAnsi="仿宋" w:eastAsia="仿宋" w:cs="仿宋"/>
          <w:sz w:val="28"/>
          <w:szCs w:val="28"/>
        </w:rPr>
        <w:t>，</w:t>
      </w:r>
      <w:r>
        <w:rPr>
          <w:rFonts w:hint="eastAsia" w:ascii="仿宋" w:hAnsi="仿宋" w:eastAsia="仿宋" w:cs="仿宋"/>
          <w:sz w:val="28"/>
          <w:szCs w:val="28"/>
          <w:lang w:val="en-US" w:eastAsia="zh-CN"/>
        </w:rPr>
        <w:t>分别从专利数量、专利类别、学科、主题词、发明人、申请机构、代理机构七大方面进行了具体分析和阐述，希望通过提供基础数据和文献分析，进一步揭示我校专利发展水平和发展趋势，为推动学校科研发展尽绵薄之力。</w:t>
      </w:r>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8"/>
          <w:szCs w:val="28"/>
          <w:lang w:val="en-US" w:eastAsia="zh-CN"/>
        </w:rPr>
      </w:pPr>
    </w:p>
    <w:p>
      <w:pPr>
        <w:jc w:val="center"/>
        <w:rPr>
          <w:rFonts w:hint="eastAsia" w:ascii="仿宋" w:hAnsi="仿宋" w:eastAsia="仿宋" w:cs="仿宋"/>
          <w:sz w:val="24"/>
          <w:szCs w:val="24"/>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AC5216"/>
    <w:multiLevelType w:val="singleLevel"/>
    <w:tmpl w:val="E4AC5216"/>
    <w:lvl w:ilvl="0" w:tentative="0">
      <w:start w:val="1"/>
      <w:numFmt w:val="decimal"/>
      <w:lvlText w:val="%1."/>
      <w:lvlJc w:val="left"/>
      <w:pPr>
        <w:tabs>
          <w:tab w:val="left" w:pos="312"/>
        </w:tabs>
      </w:pPr>
    </w:lvl>
  </w:abstractNum>
  <w:abstractNum w:abstractNumId="1">
    <w:nsid w:val="5DCF5319"/>
    <w:multiLevelType w:val="singleLevel"/>
    <w:tmpl w:val="5DCF5319"/>
    <w:lvl w:ilvl="0" w:tentative="0">
      <w:start w:val="5"/>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E5056F1"/>
    <w:rsid w:val="10D45F6A"/>
    <w:rsid w:val="19906E96"/>
    <w:rsid w:val="2615008A"/>
    <w:rsid w:val="270A7460"/>
    <w:rsid w:val="2855697D"/>
    <w:rsid w:val="292F6EA9"/>
    <w:rsid w:val="2D375149"/>
    <w:rsid w:val="2FAF3DF1"/>
    <w:rsid w:val="4CE419B5"/>
    <w:rsid w:val="4E0B0C8F"/>
    <w:rsid w:val="4EB87959"/>
    <w:rsid w:val="4F856C69"/>
    <w:rsid w:val="51431603"/>
    <w:rsid w:val="59AF5760"/>
    <w:rsid w:val="5D164843"/>
    <w:rsid w:val="6C6F73E5"/>
    <w:rsid w:val="6CD00446"/>
    <w:rsid w:val="79C3251F"/>
    <w:rsid w:val="7E0E2F46"/>
    <w:rsid w:val="7F015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WPSOffice手动目录 1"/>
    <w:uiPriority w:val="0"/>
    <w:pPr>
      <w:ind w:leftChars="0"/>
    </w:pPr>
    <w:rPr>
      <w:rFonts w:ascii="Times New Roman" w:hAnsi="Times New Roman" w:eastAsia="宋体" w:cs="Times New Roman"/>
      <w:sz w:val="20"/>
      <w:szCs w:val="20"/>
    </w:rPr>
  </w:style>
  <w:style w:type="paragraph" w:styleId="5">
    <w:name w:val="No Spacing"/>
    <w:unhideWhenUsed/>
    <w:qFormat/>
    <w:uiPriority w:val="1"/>
    <w:rPr>
      <w:rFonts w:hint="eastAsia" w:ascii="等线" w:hAnsi="等线" w:eastAsia="等线" w:cs="Times New Roman"/>
      <w:sz w:val="22"/>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H:\&#23398;&#31185;&#26381;&#21153;\2020&#31532;&#19977;&#23395;&#24230;&#19987;&#21033;&#24773;&#20917;&#32479;&#35745;\2020&#31532;&#19977;&#23395;&#24230;&#19987;&#21033;.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H:\&#23398;&#31185;&#26381;&#21153;\2020&#31532;&#19977;&#23395;&#24230;&#19987;&#21033;&#24773;&#20917;&#32479;&#35745;\2020&#31532;&#19977;&#23395;&#24230;&#19987;&#21033;.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H:\&#23398;&#31185;&#26381;&#21153;\2020&#31532;&#19977;&#23395;&#24230;&#19987;&#21033;&#24773;&#20917;&#32479;&#35745;\2020&#31532;&#19977;&#23395;&#24230;&#19987;&#21033;.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H:\&#23398;&#31185;&#26381;&#21153;\2020&#31532;&#19977;&#23395;&#24230;&#19987;&#21033;&#24773;&#20917;&#32479;&#35745;\2020&#31532;&#19977;&#23395;&#24230;&#19987;&#21033;.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H:\&#23398;&#31185;&#26381;&#21153;\2020&#31532;&#19977;&#23395;&#24230;&#19987;&#21033;&#24773;&#20917;&#32479;&#35745;\2020&#31532;&#19977;&#23395;&#24230;&#19987;&#2103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65000"/>
                        <a:lumOff val="3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'[2020第三季度专利.xlsx]1.数量分析'!$E$4:$E$6</c:f>
              <c:numCache>
                <c:formatCode>yyyy"年"m"月"</c:formatCode>
                <c:ptCount val="3"/>
                <c:pt idx="0" c:formatCode="yyyy&quot;年&quot;m&quot;月&quot;">
                  <c:v>44013</c:v>
                </c:pt>
                <c:pt idx="1" c:formatCode="yyyy&quot;年&quot;m&quot;月&quot;">
                  <c:v>44044</c:v>
                </c:pt>
                <c:pt idx="2" c:formatCode="yyyy&quot;年&quot;m&quot;月&quot;">
                  <c:v>44075</c:v>
                </c:pt>
              </c:numCache>
            </c:numRef>
          </c:cat>
          <c:val>
            <c:numRef>
              <c:f>'[2020第三季度专利.xlsx]1.数量分析'!$F$4:$F$6</c:f>
              <c:numCache>
                <c:formatCode>General</c:formatCode>
                <c:ptCount val="3"/>
                <c:pt idx="0">
                  <c:v>5</c:v>
                </c:pt>
                <c:pt idx="1">
                  <c:v>11</c:v>
                </c:pt>
                <c:pt idx="2">
                  <c:v>2</c:v>
                </c:pt>
              </c:numCache>
            </c:numRef>
          </c:val>
          <c:smooth val="0"/>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0"/>
        <c:smooth val="0"/>
        <c:axId val="359551055"/>
        <c:axId val="204766313"/>
      </c:lineChart>
      <c:dateAx>
        <c:axId val="359551055"/>
        <c:scaling>
          <c:orientation val="minMax"/>
        </c:scaling>
        <c:delete val="0"/>
        <c:axPos val="b"/>
        <c:title>
          <c:tx>
            <c:rich>
              <a:bodyPr rot="0" spcFirstLastPara="0" vertOverflow="ellipsis" vert="horz" wrap="square" anchor="ctr" anchorCtr="1"/>
              <a:lstStyle/>
              <a:p>
                <a:pPr defTabSz="914400">
                  <a:defRPr lang="zh-CN" sz="900" b="0" i="0" u="none" strike="noStrike" kern="1200" cap="all" baseline="0">
                    <a:solidFill>
                      <a:schemeClr val="dk1">
                        <a:lumMod val="65000"/>
                        <a:lumOff val="35000"/>
                      </a:schemeClr>
                    </a:solidFill>
                    <a:latin typeface="+mn-lt"/>
                    <a:ea typeface="+mn-ea"/>
                    <a:cs typeface="+mn-cs"/>
                  </a:defRPr>
                </a:pPr>
                <a:r>
                  <a:t>公开日期</a:t>
                </a:r>
              </a:p>
            </c:rich>
          </c:tx>
          <c:layout/>
          <c:overlay val="0"/>
          <c:spPr>
            <a:noFill/>
            <a:ln>
              <a:noFill/>
            </a:ln>
            <a:effectLst/>
          </c:spPr>
        </c:title>
        <c:majorTickMark val="out"/>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204766313"/>
        <c:crosses val="autoZero"/>
        <c:auto val="1"/>
        <c:lblOffset val="100"/>
        <c:baseTimeUnit val="months"/>
      </c:dateAx>
      <c:valAx>
        <c:axId val="204766313"/>
        <c:scaling>
          <c:orientation val="minMax"/>
        </c:scaling>
        <c:delete val="0"/>
        <c:axPos val="l"/>
        <c:title>
          <c:tx>
            <c:rich>
              <a:bodyPr rot="-5400000" spcFirstLastPara="0" vertOverflow="ellipsis" vert="horz" wrap="square" anchor="ctr" anchorCtr="1"/>
              <a:lstStyle/>
              <a:p>
                <a:pPr defTabSz="914400">
                  <a:defRPr lang="zh-CN" sz="900" b="0" i="0" u="none" strike="noStrike" kern="1200" cap="all" baseline="0">
                    <a:solidFill>
                      <a:schemeClr val="dk1">
                        <a:lumMod val="65000"/>
                        <a:lumOff val="35000"/>
                      </a:schemeClr>
                    </a:solidFill>
                    <a:latin typeface="+mn-lt"/>
                    <a:ea typeface="+mn-ea"/>
                    <a:cs typeface="+mn-cs"/>
                  </a:defRPr>
                </a:pPr>
                <a:r>
                  <a:t>专利数量</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359551055"/>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专利类别</a:t>
            </a:r>
          </a:p>
        </c:rich>
      </c:tx>
      <c:layout/>
      <c:overlay val="0"/>
      <c:spPr>
        <a:noFill/>
        <a:ln>
          <a:noFill/>
        </a:ln>
        <a:effectLst/>
      </c:spPr>
    </c:title>
    <c:autoTitleDeleted val="0"/>
    <c:plotArea>
      <c:layout/>
      <c:doughnutChart>
        <c:varyColors val="1"/>
        <c:ser>
          <c:idx val="0"/>
          <c:order val="0"/>
          <c:tx>
            <c:strRef>
              <c:f>'[2020第三季度专利.xlsx]2.专利类别'!$F$3</c:f>
              <c:strCache>
                <c:ptCount val="1"/>
                <c:pt idx="0">
                  <c:v>专利数量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'[2020第三季度专利.xlsx]2.专利类别'!$E$4:$E$6</c:f>
              <c:strCache>
                <c:ptCount val="3"/>
                <c:pt idx="0">
                  <c:v>实用新型</c:v>
                </c:pt>
                <c:pt idx="1">
                  <c:v>发明公开</c:v>
                </c:pt>
                <c:pt idx="2">
                  <c:v>发明授权</c:v>
                </c:pt>
              </c:strCache>
            </c:strRef>
          </c:cat>
          <c:val>
            <c:numRef>
              <c:f>'[2020第三季度专利.xlsx]2.专利类别'!$F$4:$F$6</c:f>
              <c:numCache>
                <c:formatCode>General</c:formatCode>
                <c:ptCount val="3"/>
                <c:pt idx="0">
                  <c:v>10</c:v>
                </c:pt>
                <c:pt idx="1">
                  <c:v>6</c:v>
                </c:pt>
                <c:pt idx="2">
                  <c:v>2</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学科分布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'[2020第三季度专利.xlsx]3.学科分析'!$H$24:$H$36</c:f>
              <c:strCache>
                <c:ptCount val="13"/>
                <c:pt idx="0" c:formatCode="@">
                  <c:v>轻工业手工业</c:v>
                </c:pt>
                <c:pt idx="1" c:formatCode="@">
                  <c:v>农艺学</c:v>
                </c:pt>
                <c:pt idx="2" c:formatCode="@">
                  <c:v>生物医学工程</c:v>
                </c:pt>
                <c:pt idx="3" c:formatCode="@">
                  <c:v>电力工业</c:v>
                </c:pt>
                <c:pt idx="4" c:formatCode="@">
                  <c:v>工业通用技术及设备</c:v>
                </c:pt>
                <c:pt idx="5" c:formatCode="@">
                  <c:v>化学</c:v>
                </c:pt>
                <c:pt idx="6" c:formatCode="@">
                  <c:v>计算机硬件技术</c:v>
                </c:pt>
                <c:pt idx="7" c:formatCode="@">
                  <c:v>金属学及金属工艺</c:v>
                </c:pt>
                <c:pt idx="8" c:formatCode="@">
                  <c:v>农业工程</c:v>
                </c:pt>
                <c:pt idx="9" c:formatCode="@">
                  <c:v>生物学</c:v>
                </c:pt>
                <c:pt idx="10" c:formatCode="@">
                  <c:v>无机化工</c:v>
                </c:pt>
                <c:pt idx="11" c:formatCode="@">
                  <c:v>无线电电子学</c:v>
                </c:pt>
                <c:pt idx="12" c:formatCode="@">
                  <c:v>园艺</c:v>
                </c:pt>
              </c:strCache>
            </c:strRef>
          </c:cat>
          <c:val>
            <c:numRef>
              <c:f>'[2020第三季度专利.xlsx]3.学科分析'!$I$24:$I$36</c:f>
              <c:numCache>
                <c:formatCode>General</c:formatCode>
                <c:ptCount val="13"/>
                <c:pt idx="0">
                  <c:v>4</c:v>
                </c:pt>
                <c:pt idx="1">
                  <c:v>2</c:v>
                </c:pt>
                <c:pt idx="2">
                  <c:v>2</c:v>
                </c:pt>
                <c:pt idx="3">
                  <c:v>1</c:v>
                </c:pt>
                <c:pt idx="4">
                  <c:v>1</c:v>
                </c:pt>
                <c:pt idx="5">
                  <c:v>1</c:v>
                </c:pt>
                <c:pt idx="6">
                  <c:v>1</c:v>
                </c:pt>
                <c:pt idx="7">
                  <c:v>1</c:v>
                </c:pt>
                <c:pt idx="8">
                  <c:v>1</c:v>
                </c:pt>
                <c:pt idx="9">
                  <c:v>1</c:v>
                </c:pt>
                <c:pt idx="10">
                  <c:v>1</c:v>
                </c:pt>
                <c:pt idx="11">
                  <c:v>1</c:v>
                </c:pt>
                <c:pt idx="12">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主要主题词分布</a:t>
            </a:r>
          </a:p>
        </c:rich>
      </c:tx>
      <c:layout/>
      <c:overlay val="0"/>
      <c:spPr>
        <a:noFill/>
        <a:ln>
          <a:noFill/>
        </a:ln>
        <a:effectLst/>
      </c:spPr>
    </c:title>
    <c:autoTitleDeleted val="0"/>
    <c:plotArea>
      <c:layout/>
      <c:barChart>
        <c:barDir val="col"/>
        <c:grouping val="clustered"/>
        <c:varyColors val="0"/>
        <c:ser>
          <c:idx val="0"/>
          <c:order val="0"/>
          <c:tx>
            <c:strRef>
              <c:f>'[2020第三季度专利.xlsx]4.主题词分析'!$P$1</c:f>
              <c:strCache>
                <c:ptCount val="1"/>
                <c:pt idx="0">
                  <c:v>主要主题词频次</c:v>
                </c:pt>
              </c:strCache>
            </c:strRef>
          </c:tx>
          <c:spPr>
            <a:solidFill>
              <a:schemeClr val="accent1"/>
            </a:solidFill>
            <a:ln>
              <a:noFill/>
            </a:ln>
            <a:effectLst/>
          </c:spPr>
          <c:invertIfNegative val="0"/>
          <c:dLbls>
            <c:delete val="1"/>
          </c:dLbls>
          <c:cat>
            <c:strRef>
              <c:f>'[2020第三季度专利.xlsx]4.主题词分析'!$O$2:$O$28</c:f>
              <c:strCache>
                <c:ptCount val="27"/>
                <c:pt idx="0">
                  <c:v>消毒装置</c:v>
                </c:pt>
                <c:pt idx="1">
                  <c:v>制备方法</c:v>
                </c:pt>
                <c:pt idx="2">
                  <c:v>发电机</c:v>
                </c:pt>
                <c:pt idx="3">
                  <c:v>清理系统</c:v>
                </c:pt>
                <c:pt idx="4">
                  <c:v>水培植物</c:v>
                </c:pt>
                <c:pt idx="5">
                  <c:v>嫁接方法</c:v>
                </c:pt>
                <c:pt idx="6">
                  <c:v>维修台</c:v>
                </c:pt>
                <c:pt idx="7">
                  <c:v>发酵饮料</c:v>
                </c:pt>
                <c:pt idx="8">
                  <c:v>限位杆</c:v>
                </c:pt>
                <c:pt idx="9">
                  <c:v>集装箱</c:v>
                </c:pt>
                <c:pt idx="10">
                  <c:v>稻草秸秆</c:v>
                </c:pt>
                <c:pt idx="11">
                  <c:v>回转式</c:v>
                </c:pt>
                <c:pt idx="12">
                  <c:v>光伏组件</c:v>
                </c:pt>
                <c:pt idx="13">
                  <c:v>吸附剂</c:v>
                </c:pt>
                <c:pt idx="14">
                  <c:v>施肥装置</c:v>
                </c:pt>
                <c:pt idx="15">
                  <c:v>图像识别</c:v>
                </c:pt>
                <c:pt idx="16">
                  <c:v>不同厚度</c:v>
                </c:pt>
                <c:pt idx="17">
                  <c:v>传动链条</c:v>
                </c:pt>
                <c:pt idx="18">
                  <c:v>镀层材料</c:v>
                </c:pt>
                <c:pt idx="19">
                  <c:v>板栗树</c:v>
                </c:pt>
                <c:pt idx="20">
                  <c:v>封装方法</c:v>
                </c:pt>
                <c:pt idx="21">
                  <c:v>硅藻土</c:v>
                </c:pt>
                <c:pt idx="22">
                  <c:v>太阳能电池组件层压机</c:v>
                </c:pt>
                <c:pt idx="23">
                  <c:v>深度神经网络</c:v>
                </c:pt>
                <c:pt idx="24">
                  <c:v>Cu-Al_2O_3</c:v>
                </c:pt>
                <c:pt idx="25">
                  <c:v>太阳能电池组件</c:v>
                </c:pt>
                <c:pt idx="26">
                  <c:v>港口物流</c:v>
                </c:pt>
              </c:strCache>
            </c:strRef>
          </c:cat>
          <c:val>
            <c:numRef>
              <c:f>'[2020第三季度专利.xlsx]4.主题词分析'!$P$2:$P$28</c:f>
              <c:numCache>
                <c:formatCode>General</c:formatCode>
                <c:ptCount val="27"/>
                <c:pt idx="0">
                  <c:v>2</c:v>
                </c:pt>
                <c:pt idx="1">
                  <c:v>2</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numCache>
            </c:numRef>
          </c:val>
        </c:ser>
        <c:dLbls>
          <c:showLegendKey val="0"/>
          <c:showVal val="0"/>
          <c:showCatName val="0"/>
          <c:showSerName val="0"/>
          <c:showPercent val="0"/>
          <c:showBubbleSize val="0"/>
        </c:dLbls>
        <c:gapWidth val="219"/>
        <c:overlap val="-27"/>
        <c:axId val="503029079"/>
        <c:axId val="133178175"/>
      </c:barChart>
      <c:catAx>
        <c:axId val="50302907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3178175"/>
        <c:crosses val="autoZero"/>
        <c:auto val="1"/>
        <c:lblAlgn val="ctr"/>
        <c:lblOffset val="100"/>
        <c:noMultiLvlLbl val="0"/>
      </c:catAx>
      <c:valAx>
        <c:axId val="133178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主要主题词频次</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30290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次要主题词分布</a:t>
            </a:r>
          </a:p>
        </c:rich>
      </c:tx>
      <c:layout>
        <c:manualLayout>
          <c:xMode val="edge"/>
          <c:yMode val="edge"/>
          <c:x val="0.356111111111111"/>
          <c:y val="0.0243055555555556"/>
        </c:manualLayout>
      </c:layout>
      <c:overlay val="0"/>
      <c:spPr>
        <a:noFill/>
        <a:ln>
          <a:noFill/>
        </a:ln>
        <a:effectLst/>
      </c:spPr>
    </c:title>
    <c:autoTitleDeleted val="0"/>
    <c:plotArea>
      <c:layout/>
      <c:barChart>
        <c:barDir val="col"/>
        <c:grouping val="clustered"/>
        <c:varyColors val="0"/>
        <c:ser>
          <c:idx val="0"/>
          <c:order val="0"/>
          <c:tx>
            <c:strRef>
              <c:f>'[2020第三季度专利.xlsx]4.主题词分析'!$P$30</c:f>
              <c:strCache>
                <c:ptCount val="1"/>
                <c:pt idx="0">
                  <c:v>次要主题词频次</c:v>
                </c:pt>
              </c:strCache>
            </c:strRef>
          </c:tx>
          <c:spPr>
            <a:solidFill>
              <a:schemeClr val="accent1"/>
            </a:solidFill>
            <a:ln>
              <a:noFill/>
            </a:ln>
            <a:effectLst/>
          </c:spPr>
          <c:invertIfNegative val="0"/>
          <c:dLbls>
            <c:delete val="1"/>
          </c:dLbls>
          <c:cat>
            <c:strRef>
              <c:f>'[2020第三季度专利.xlsx]4.主题词分析'!$O$31:$O$60</c:f>
              <c:strCache>
                <c:ptCount val="30"/>
                <c:pt idx="0">
                  <c:v>固定连接</c:v>
                </c:pt>
                <c:pt idx="1">
                  <c:v>镀银层</c:v>
                </c:pt>
                <c:pt idx="2">
                  <c:v>压缩缸</c:v>
                </c:pt>
                <c:pt idx="3">
                  <c:v>紫外线灯</c:v>
                </c:pt>
                <c:pt idx="4">
                  <c:v>控制器</c:v>
                </c:pt>
                <c:pt idx="5">
                  <c:v>支撑板</c:v>
                </c:pt>
                <c:pt idx="6">
                  <c:v>紧固装置</c:v>
                </c:pt>
                <c:pt idx="7">
                  <c:v>控制参数</c:v>
                </c:pt>
                <c:pt idx="8">
                  <c:v>整齐度</c:v>
                </c:pt>
                <c:pt idx="9">
                  <c:v>万向轮</c:v>
                </c:pt>
                <c:pt idx="10">
                  <c:v>畜禽养殖场</c:v>
                </c:pt>
                <c:pt idx="11">
                  <c:v>信号连接</c:v>
                </c:pt>
                <c:pt idx="12">
                  <c:v>光照强度</c:v>
                </c:pt>
                <c:pt idx="13">
                  <c:v>网络交换机</c:v>
                </c:pt>
                <c:pt idx="14">
                  <c:v>制备方法</c:v>
                </c:pt>
                <c:pt idx="15">
                  <c:v>防盗门</c:v>
                </c:pt>
                <c:pt idx="16">
                  <c:v>主动辊</c:v>
                </c:pt>
                <c:pt idx="17">
                  <c:v>电动缸</c:v>
                </c:pt>
                <c:pt idx="18">
                  <c:v>限位孔</c:v>
                </c:pt>
                <c:pt idx="19">
                  <c:v>驱动轴</c:v>
                </c:pt>
                <c:pt idx="20">
                  <c:v>固定装置</c:v>
                </c:pt>
                <c:pt idx="21">
                  <c:v>电动推杆</c:v>
                </c:pt>
                <c:pt idx="22">
                  <c:v>驱动装置</c:v>
                </c:pt>
                <c:pt idx="23">
                  <c:v>上箱体</c:v>
                </c:pt>
                <c:pt idx="24">
                  <c:v>层压机</c:v>
                </c:pt>
                <c:pt idx="25">
                  <c:v>消毒箱</c:v>
                </c:pt>
                <c:pt idx="26">
                  <c:v>工控机</c:v>
                </c:pt>
                <c:pt idx="27">
                  <c:v>扫描电镜照片</c:v>
                </c:pt>
                <c:pt idx="28">
                  <c:v>夹紧装置</c:v>
                </c:pt>
                <c:pt idx="29">
                  <c:v>稻草秸秆</c:v>
                </c:pt>
              </c:strCache>
            </c:strRef>
          </c:cat>
          <c:val>
            <c:numRef>
              <c:f>'[2020第三季度专利.xlsx]4.主题词分析'!$P$31:$P$60</c:f>
              <c:numCache>
                <c:formatCode>General</c:formatCode>
                <c:ptCount val="30"/>
                <c:pt idx="0">
                  <c:v>2</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ser>
        <c:dLbls>
          <c:showLegendKey val="0"/>
          <c:showVal val="0"/>
          <c:showCatName val="0"/>
          <c:showSerName val="0"/>
          <c:showPercent val="0"/>
          <c:showBubbleSize val="0"/>
        </c:dLbls>
        <c:gapWidth val="219"/>
        <c:overlap val="-27"/>
        <c:axId val="682298294"/>
        <c:axId val="696780636"/>
      </c:barChart>
      <c:catAx>
        <c:axId val="68229829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6780636"/>
        <c:crosses val="autoZero"/>
        <c:auto val="1"/>
        <c:lblAlgn val="ctr"/>
        <c:lblOffset val="100"/>
        <c:noMultiLvlLbl val="0"/>
      </c:catAx>
      <c:valAx>
        <c:axId val="6967806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次要主题词频次</a:t>
                </a:r>
              </a:p>
            </c:rich>
          </c:tx>
          <c:layout>
            <c:manualLayout>
              <c:xMode val="edge"/>
              <c:yMode val="edge"/>
              <c:x val="0.0282051282051282"/>
              <c:y val="0.3031603229527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229829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1622</Words>
  <Characters>1751</Characters>
  <Lines>0</Lines>
  <Paragraphs>0</Paragraphs>
  <TotalTime>0</TotalTime>
  <ScaleCrop>false</ScaleCrop>
  <LinksUpToDate>false</LinksUpToDate>
  <CharactersWithSpaces>1783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2020-11-02T00:44:00Z</dcterms:created>
  <dc:creator>Administrator</dc:creator>
  <cp:lastModifiedBy>ym</cp:lastModifiedBy>
  <dcterms:modified xsi:type="dcterms:W3CDTF">2023-04-13T07:02:50Z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E4BE2FC55DF2449191A2C82442B8D711_12</vt:lpwstr>
  </property>
</Properties>
</file>