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13" name="等腰三角形 13"/>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mBZXYAAAA&#10;DAEAAA8AAAAAAAAAAQAgAAAAIgAAAGRycy9kb3ducmV2LnhtbFBLAQIUABQAAAAIAIdO4kBVCBQM&#10;HQIAAAcEAAAOAAAAAAAAAAEAIAAAACcBAABkcnMvZTJvRG9jLnhtbFBLBQYAAAAABgAGAFkBAAC2&#10;BQ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4"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PKMlqhICAADu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1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ArZnPtQBAACLAwAADgAA&#10;AAAAAAABACAAAAAs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1</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2020年第四季度发文分析报告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C4k/1nvwEAAGY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lq6oMQy&#10;gwM//f51+vPv9PcnWSR5Bg8NRt17jIvjBzfi0jzYAY2J9SiDSV/kQ9CP4h4v4ooxEo7G99Wymlc1&#10;JRx91bK+qRd1wike032A+FE4Q9KlpQGnl0Vlh08Qp9CHkFTNujuldZ6gtmRACjd1mRMuHgTXFmsk&#10;ElOz6RbH7XhmtnXdEYkNuAEthR97FgQlex/UrscOMtGcjPLnVs+rkub79J1LPP4e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44PHI3QAAAAwBAAAPAAAAAAAAAAEAIAAAACIAAABkcnMvZG93bnJl&#10;di54bWxQSwECFAAUAAAACACHTuJAuJP9Z78BAABmAwAADgAAAAAAAAABACAAAAAsAQAAZHJzL2Uy&#10;b0RvYy54bWxQSwUGAAAAAAYABgBZAQAAXQU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60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2020年第四季度发文分析报告</w:t>
                      </w:r>
                    </w:p>
                    <w:p>
                      <w:pPr>
                        <w:spacing w:line="60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600" w:lineRule="auto"/>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6"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ADeff/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7"/>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pPr>
                        <w:pStyle w:val="7"/>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黑体"/>
              <w:sz w:val="44"/>
              <w:szCs w:val="44"/>
            </w:rPr>
            <w:t>目录</w:t>
          </w:r>
        </w:p>
        <w:p>
          <w:pPr>
            <w:pStyle w:val="5"/>
            <w:tabs>
              <w:tab w:val="right" w:leader="dot" w:pos="8306"/>
            </w:tabs>
            <w:rPr>
              <w:b/>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5"/>
            <w:tabs>
              <w:tab w:val="right" w:leader="dot" w:pos="8306"/>
            </w:tabs>
            <w:rPr>
              <w:b/>
            </w:rPr>
          </w:pPr>
        </w:p>
        <w:p>
          <w:pPr>
            <w:pStyle w:val="5"/>
            <w:tabs>
              <w:tab w:val="right" w:leader="dot" w:pos="8306"/>
            </w:tabs>
            <w:spacing w:line="360" w:lineRule="auto"/>
            <w:rPr>
              <w:rFonts w:hint="eastAsia" w:ascii="宋体" w:hAnsi="宋体" w:eastAsia="宋体" w:cs="宋体"/>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_Toc25354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一． 中文发文情况统计分析</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_Toc25354 </w:instrText>
          </w:r>
          <w:r>
            <w:rPr>
              <w:rFonts w:hint="eastAsia" w:ascii="宋体" w:hAnsi="宋体" w:eastAsia="宋体" w:cs="宋体"/>
              <w:b/>
              <w:sz w:val="24"/>
              <w:szCs w:val="24"/>
            </w:rPr>
            <w:fldChar w:fldCharType="separate"/>
          </w:r>
          <w:r>
            <w:rPr>
              <w:rFonts w:hint="eastAsia" w:ascii="宋体" w:hAnsi="宋体" w:eastAsia="宋体" w:cs="宋体"/>
              <w:b/>
              <w:sz w:val="24"/>
              <w:szCs w:val="24"/>
            </w:rPr>
            <w:t>4</w:t>
          </w:r>
          <w:r>
            <w:rPr>
              <w:rFonts w:hint="eastAsia" w:ascii="宋体" w:hAnsi="宋体" w:eastAsia="宋体" w:cs="宋体"/>
              <w:b/>
              <w:sz w:val="24"/>
              <w:szCs w:val="24"/>
            </w:rPr>
            <w:fldChar w:fldCharType="end"/>
          </w:r>
          <w:r>
            <w:rPr>
              <w:rFonts w:hint="eastAsia" w:ascii="宋体" w:hAnsi="宋体" w:eastAsia="宋体" w:cs="宋体"/>
              <w:b/>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_Toc21339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_Toc21339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_Toc14591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_Toc14591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_Toc26814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_Toc26814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_Toc27178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_Toc27178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_Toc23516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_Toc23516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_Toc27929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_Toc27929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_Toc28119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_Toc28119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_Toc22505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_Toc22505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5"/>
            <w:tabs>
              <w:tab w:val="right" w:leader="dot" w:pos="8306"/>
            </w:tabs>
            <w:spacing w:line="360" w:lineRule="auto"/>
            <w:rPr>
              <w:rFonts w:hint="eastAsia" w:ascii="宋体" w:hAnsi="宋体" w:eastAsia="宋体" w:cs="宋体"/>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_Toc30657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二． 外文发文情况统计分析</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_Toc30657 </w:instrText>
          </w:r>
          <w:r>
            <w:rPr>
              <w:rFonts w:hint="eastAsia" w:ascii="宋体" w:hAnsi="宋体" w:eastAsia="宋体" w:cs="宋体"/>
              <w:b/>
              <w:sz w:val="24"/>
              <w:szCs w:val="24"/>
            </w:rPr>
            <w:fldChar w:fldCharType="separate"/>
          </w:r>
          <w:r>
            <w:rPr>
              <w:rFonts w:hint="eastAsia" w:ascii="宋体" w:hAnsi="宋体" w:eastAsia="宋体" w:cs="宋体"/>
              <w:b/>
              <w:sz w:val="24"/>
              <w:szCs w:val="24"/>
            </w:rPr>
            <w:t>10</w:t>
          </w:r>
          <w:r>
            <w:rPr>
              <w:rFonts w:hint="eastAsia" w:ascii="宋体" w:hAnsi="宋体" w:eastAsia="宋体" w:cs="宋体"/>
              <w:b/>
              <w:sz w:val="24"/>
              <w:szCs w:val="24"/>
            </w:rPr>
            <w:fldChar w:fldCharType="end"/>
          </w:r>
          <w:r>
            <w:rPr>
              <w:rFonts w:hint="eastAsia" w:ascii="宋体" w:hAnsi="宋体" w:eastAsia="宋体" w:cs="宋体"/>
              <w:b/>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_Toc21827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_Toc21827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_Toc16394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_Toc16394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_Toc1663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_Toc1663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_Toc11441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_Toc11441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_Toc25500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_Toc25500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_Toc16329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_Toc16329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6"/>
            <w:tabs>
              <w:tab w:val="right" w:leader="dot" w:pos="8306"/>
            </w:tabs>
            <w:spacing w:line="360" w:lineRule="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_Toc28712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_Toc28712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28842"/>
      <w:r>
        <w:rPr>
          <w:rFonts w:hint="eastAsia" w:ascii="宋体" w:hAnsi="宋体" w:eastAsia="宋体" w:cs="宋体"/>
          <w:b/>
          <w:bCs/>
          <w:sz w:val="24"/>
          <w:szCs w:val="24"/>
        </w:rPr>
        <w:t>数据来源</w:t>
      </w:r>
      <w:bookmarkEnd w:id="0"/>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（1）中国知网（CNKI），主要用于国内期刊论文的统计分析，数据统计下载日期为20</w:t>
      </w:r>
      <w:r>
        <w:rPr>
          <w:rFonts w:hint="eastAsia" w:ascii="宋体" w:hAnsi="宋体" w:eastAsia="宋体" w:cs="宋体"/>
          <w:sz w:val="24"/>
          <w:szCs w:val="24"/>
          <w:lang w:val="en-US" w:eastAsia="zh-CN"/>
        </w:rPr>
        <w:t>21</w:t>
      </w:r>
      <w:r>
        <w:rPr>
          <w:rFonts w:hint="eastAsia" w:ascii="宋体" w:hAnsi="宋体" w:eastAsia="宋体" w:cs="宋体"/>
          <w:sz w:val="24"/>
          <w:szCs w:val="24"/>
        </w:rPr>
        <w:t>年</w:t>
      </w:r>
      <w:r>
        <w:rPr>
          <w:rFonts w:hint="eastAsia" w:ascii="宋体" w:hAnsi="宋体" w:eastAsia="宋体" w:cs="宋体"/>
          <w:sz w:val="24"/>
          <w:szCs w:val="24"/>
          <w:lang w:val="en-US" w:eastAsia="zh-CN"/>
        </w:rPr>
        <w:t>05</w:t>
      </w:r>
      <w:r>
        <w:rPr>
          <w:rFonts w:hint="eastAsia" w:ascii="宋体" w:hAnsi="宋体" w:eastAsia="宋体" w:cs="宋体"/>
          <w:sz w:val="24"/>
          <w:szCs w:val="24"/>
        </w:rPr>
        <w:t>月</w:t>
      </w:r>
      <w:r>
        <w:rPr>
          <w:rFonts w:hint="eastAsia" w:ascii="宋体" w:hAnsi="宋体" w:eastAsia="宋体" w:cs="宋体"/>
          <w:sz w:val="24"/>
          <w:szCs w:val="24"/>
          <w:lang w:val="en-US" w:eastAsia="zh-CN"/>
        </w:rPr>
        <w:t>14</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2021</w:t>
      </w:r>
      <w:r>
        <w:rPr>
          <w:rFonts w:hint="eastAsia" w:ascii="宋体" w:hAnsi="宋体" w:eastAsia="宋体" w:cs="宋体"/>
          <w:sz w:val="24"/>
          <w:szCs w:val="24"/>
        </w:rPr>
        <w:t>年</w:t>
      </w:r>
      <w:r>
        <w:rPr>
          <w:rFonts w:hint="eastAsia" w:ascii="宋体" w:hAnsi="宋体" w:eastAsia="宋体" w:cs="宋体"/>
          <w:sz w:val="24"/>
          <w:szCs w:val="24"/>
          <w:lang w:val="en-US" w:eastAsia="zh-CN"/>
        </w:rPr>
        <w:t>03</w:t>
      </w:r>
      <w:r>
        <w:rPr>
          <w:rFonts w:hint="eastAsia" w:ascii="宋体" w:hAnsi="宋体" w:eastAsia="宋体" w:cs="宋体"/>
          <w:sz w:val="24"/>
          <w:szCs w:val="24"/>
        </w:rPr>
        <w:t>月</w:t>
      </w:r>
      <w:r>
        <w:rPr>
          <w:rFonts w:hint="eastAsia" w:ascii="宋体" w:hAnsi="宋体" w:eastAsia="宋体" w:cs="宋体"/>
          <w:sz w:val="24"/>
          <w:szCs w:val="24"/>
          <w:lang w:val="en-US" w:eastAsia="zh-CN"/>
        </w:rPr>
        <w:t>19</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1" w:name="_Toc9355"/>
      <w:r>
        <w:rPr>
          <w:rFonts w:hint="eastAsia" w:ascii="宋体" w:hAnsi="宋体" w:eastAsia="宋体" w:cs="宋体"/>
          <w:b/>
          <w:bCs/>
          <w:sz w:val="24"/>
          <w:szCs w:val="24"/>
        </w:rPr>
        <w:t>数据处理</w:t>
      </w:r>
      <w:bookmarkEnd w:id="1"/>
    </w:p>
    <w:p>
      <w:pPr>
        <w:spacing w:line="480" w:lineRule="auto"/>
        <w:ind w:firstLine="480" w:firstLineChars="200"/>
        <w:outlineLvl w:val="0"/>
        <w:rPr>
          <w:rFonts w:hint="eastAsia" w:ascii="宋体" w:hAnsi="宋体" w:eastAsia="宋体" w:cs="宋体"/>
          <w:sz w:val="24"/>
          <w:szCs w:val="24"/>
        </w:rPr>
      </w:pPr>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2" w:name="_Toc30686"/>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2"/>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3" w:name="_Toc13037"/>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3"/>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4" w:name="_Toc10613"/>
      <w:bookmarkStart w:id="5" w:name="_Toc7382"/>
      <w:r>
        <w:rPr>
          <w:rFonts w:hint="eastAsia" w:ascii="黑体" w:hAnsi="黑体" w:eastAsia="黑体" w:cs="黑体"/>
          <w:b/>
          <w:bCs/>
          <w:sz w:val="44"/>
          <w:szCs w:val="44"/>
          <w:lang w:val="en-US" w:eastAsia="zh-CN"/>
        </w:rPr>
        <w:t>河北科技师范学院</w:t>
      </w:r>
      <w:bookmarkEnd w:id="4"/>
      <w:bookmarkEnd w:id="5"/>
    </w:p>
    <w:p>
      <w:pPr>
        <w:jc w:val="center"/>
        <w:outlineLvl w:val="0"/>
        <w:rPr>
          <w:rFonts w:hint="eastAsia" w:ascii="黑体" w:hAnsi="黑体" w:eastAsia="黑体" w:cs="黑体"/>
          <w:b/>
          <w:bCs/>
          <w:sz w:val="44"/>
          <w:szCs w:val="44"/>
          <w:lang w:val="en-US" w:eastAsia="zh-CN"/>
        </w:rPr>
      </w:pPr>
      <w:bookmarkStart w:id="6" w:name="_Toc8013"/>
      <w:bookmarkStart w:id="7" w:name="_Toc9198"/>
      <w:r>
        <w:rPr>
          <w:rFonts w:hint="eastAsia" w:ascii="黑体" w:hAnsi="黑体" w:eastAsia="黑体" w:cs="黑体"/>
          <w:b/>
          <w:bCs/>
          <w:sz w:val="44"/>
          <w:szCs w:val="44"/>
          <w:lang w:val="en-US" w:eastAsia="zh-CN"/>
        </w:rPr>
        <w:t>2020年第四季度发文分析报告</w:t>
      </w:r>
      <w:bookmarkEnd w:id="6"/>
      <w:bookmarkEnd w:id="7"/>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8" w:name="_Toc25354"/>
      <w:bookmarkStart w:id="9" w:name="_Toc3849"/>
      <w:r>
        <w:rPr>
          <w:rFonts w:hint="eastAsia" w:ascii="黑体" w:hAnsi="黑体" w:eastAsia="黑体" w:cs="黑体"/>
          <w:b/>
          <w:bCs/>
          <w:sz w:val="32"/>
          <w:szCs w:val="32"/>
          <w:lang w:val="en-US" w:eastAsia="zh-CN"/>
        </w:rPr>
        <w:t>中文发文情况统计分析</w:t>
      </w:r>
      <w:bookmarkEnd w:id="8"/>
      <w:bookmarkEnd w:id="9"/>
      <w:bookmarkStart w:id="41" w:name="_GoBack"/>
      <w:bookmarkEnd w:id="41"/>
    </w:p>
    <w:p>
      <w:pPr>
        <w:numPr>
          <w:ilvl w:val="0"/>
          <w:numId w:val="2"/>
        </w:numPr>
        <w:jc w:val="both"/>
        <w:outlineLvl w:val="1"/>
        <w:rPr>
          <w:rFonts w:hint="eastAsia" w:ascii="仿宋" w:hAnsi="仿宋" w:eastAsia="仿宋" w:cs="仿宋"/>
          <w:b/>
          <w:bCs/>
          <w:sz w:val="30"/>
          <w:szCs w:val="30"/>
          <w:lang w:val="en-US" w:eastAsia="zh-CN"/>
        </w:rPr>
      </w:pPr>
      <w:bookmarkStart w:id="10" w:name="_Toc30099"/>
      <w:bookmarkStart w:id="11" w:name="_Toc21339"/>
      <w:r>
        <w:rPr>
          <w:rFonts w:hint="eastAsia" w:ascii="仿宋" w:hAnsi="仿宋" w:eastAsia="仿宋" w:cs="仿宋"/>
          <w:b/>
          <w:bCs/>
          <w:sz w:val="30"/>
          <w:szCs w:val="30"/>
          <w:lang w:val="en-US" w:eastAsia="zh-CN"/>
        </w:rPr>
        <w:t>发文量分析</w:t>
      </w:r>
      <w:bookmarkEnd w:id="10"/>
      <w:bookmarkEnd w:id="11"/>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通过中国知网（CNKI）检索，在20</w:t>
      </w:r>
      <w:r>
        <w:rPr>
          <w:rFonts w:hint="eastAsia" w:ascii="仿宋" w:hAnsi="仿宋" w:eastAsia="仿宋" w:cs="仿宋"/>
          <w:sz w:val="28"/>
          <w:szCs w:val="28"/>
          <w:lang w:val="en-US" w:eastAsia="zh-CN"/>
        </w:rPr>
        <w:t>20年第四季度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97</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32.3</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82</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84.5</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w:t>
      </w:r>
      <w:r>
        <w:rPr>
          <w:rFonts w:hint="eastAsia" w:ascii="仿宋" w:hAnsi="仿宋" w:eastAsia="仿宋" w:cs="仿宋"/>
          <w:b/>
          <w:bCs/>
          <w:color w:val="000000"/>
          <w:kern w:val="0"/>
          <w:sz w:val="24"/>
          <w:szCs w:val="24"/>
          <w:lang w:bidi="ar"/>
        </w:rPr>
        <w:t>国内期刊发文情况统计表</w:t>
      </w:r>
    </w:p>
    <w:tbl>
      <w:tblPr>
        <w:tblStyle w:val="2"/>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2020年10月</w:t>
            </w:r>
          </w:p>
        </w:tc>
        <w:tc>
          <w:tcPr>
            <w:tcW w:w="1619"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32</w:t>
            </w:r>
          </w:p>
        </w:tc>
        <w:tc>
          <w:tcPr>
            <w:tcW w:w="1794"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28</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2020年11月</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17</w:t>
            </w:r>
          </w:p>
        </w:tc>
        <w:tc>
          <w:tcPr>
            <w:tcW w:w="1794"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14</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2020年12月</w:t>
            </w:r>
          </w:p>
        </w:tc>
        <w:tc>
          <w:tcPr>
            <w:tcW w:w="1619"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48</w:t>
            </w:r>
          </w:p>
        </w:tc>
        <w:tc>
          <w:tcPr>
            <w:tcW w:w="1794"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40</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16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97</w:t>
            </w:r>
          </w:p>
        </w:tc>
        <w:tc>
          <w:tcPr>
            <w:tcW w:w="179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82</w:t>
            </w:r>
          </w:p>
        </w:tc>
      </w:tr>
    </w:tbl>
    <w:p>
      <w:pPr>
        <w:spacing w:line="48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注：1.国内期刊论文：统计源为中国知网《中国引文数据库》，共计11225种期刊。</w:t>
      </w:r>
    </w:p>
    <w:p>
      <w:pPr>
        <w:numPr>
          <w:ilvl w:val="0"/>
          <w:numId w:val="2"/>
        </w:numPr>
        <w:spacing w:line="480" w:lineRule="auto"/>
        <w:ind w:left="0" w:leftChars="0" w:firstLine="0" w:firstLineChars="0"/>
        <w:jc w:val="left"/>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rPr>
        <w:t>北大核心发文量：</w:t>
      </w:r>
      <w:r>
        <w:rPr>
          <w:rFonts w:hint="eastAsia" w:ascii="微软雅黑" w:hAnsi="微软雅黑" w:eastAsia="微软雅黑" w:cs="微软雅黑"/>
          <w:sz w:val="21"/>
          <w:szCs w:val="21"/>
          <w:lang w:val="en-US" w:eastAsia="zh-CN"/>
        </w:rPr>
        <w:t>本次数据检索时间为2021.05.14，当前数据统计时间范围为2006-2020年，数据采集截止时间为2020年11月17日，因此2020年第四季度北大核心发文数据不具备分析意义，本分析报告不作分析。</w:t>
      </w:r>
    </w:p>
    <w:p>
      <w:pPr>
        <w:numPr>
          <w:ilvl w:val="0"/>
          <w:numId w:val="0"/>
        </w:numPr>
        <w:jc w:val="both"/>
        <w:outlineLvl w:val="1"/>
        <w:rPr>
          <w:rFonts w:hint="eastAsia" w:ascii="仿宋" w:hAnsi="仿宋" w:eastAsia="仿宋" w:cs="仿宋"/>
          <w:b/>
          <w:bCs/>
          <w:sz w:val="30"/>
          <w:szCs w:val="30"/>
          <w:lang w:val="en-US" w:eastAsia="zh-CN"/>
        </w:rPr>
      </w:pPr>
      <w:bookmarkStart w:id="12" w:name="_Toc25622"/>
      <w:bookmarkStart w:id="13" w:name="_Toc14591"/>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2.论文主题分析</w:t>
      </w:r>
      <w:bookmarkEnd w:id="12"/>
      <w:bookmarkEnd w:id="13"/>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2020年第四季度国内公开发表的97篇论文中，通过对主要主题词分析得到频次大于两次的主题词分布为：秦皇岛、动物医学、分离鉴定、迟缓爱德华菌、旅游业、大肠杆菌、貉、专业课程等，具体分布频次详见图1。</w:t>
      </w:r>
    </w:p>
    <w:p>
      <w:pPr>
        <w:numPr>
          <w:ilvl w:val="0"/>
          <w:numId w:val="0"/>
        </w:numPr>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ind w:leftChars="0" w:firstLine="420" w:firstLineChars="200"/>
        <w:jc w:val="both"/>
      </w:pPr>
      <w:r>
        <w:rPr>
          <w:rFonts w:hint="eastAsia"/>
          <w:lang w:val="en-US" w:eastAsia="zh-CN"/>
        </w:rPr>
        <w:t xml:space="preserve"> </w:t>
      </w:r>
      <w:r>
        <w:drawing>
          <wp:inline distT="0" distB="0" distL="114300" distR="114300">
            <wp:extent cx="4572000" cy="4436110"/>
            <wp:effectExtent l="4445" t="4445" r="14605" b="1714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在2020年第四季度国内公开发表的97篇论文中，通过对次要主题词分析得到频次大于三次的主题词分布为：河北省、分离鉴定、大肠杆菌、耐药性、教学改革、职业院校等，具体分布频次详见图2。</w:t>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p>
    <w:p>
      <w:pPr>
        <w:numPr>
          <w:ilvl w:val="0"/>
          <w:numId w:val="0"/>
        </w:numPr>
        <w:ind w:leftChars="0" w:firstLine="560" w:firstLineChars="200"/>
        <w:jc w:val="both"/>
        <w:rPr>
          <w:rFonts w:hint="eastAsia" w:ascii="仿宋" w:hAnsi="仿宋" w:eastAsia="仿宋" w:cs="仿宋"/>
          <w:b w:val="0"/>
          <w:bCs w:val="0"/>
          <w:sz w:val="28"/>
          <w:szCs w:val="28"/>
          <w:lang w:val="en-US" w:eastAsia="zh-CN"/>
        </w:rPr>
      </w:pPr>
    </w:p>
    <w:p>
      <w:pPr>
        <w:numPr>
          <w:ilvl w:val="0"/>
          <w:numId w:val="0"/>
        </w:numPr>
        <w:ind w:leftChars="0" w:firstLine="560" w:firstLineChars="200"/>
        <w:jc w:val="both"/>
        <w:rPr>
          <w:rFonts w:hint="eastAsia" w:ascii="仿宋" w:hAnsi="仿宋" w:eastAsia="仿宋" w:cs="仿宋"/>
          <w:b w:val="0"/>
          <w:bCs w:val="0"/>
          <w:sz w:val="28"/>
          <w:szCs w:val="28"/>
          <w:lang w:val="en-US" w:eastAsia="zh-CN"/>
        </w:rPr>
      </w:pPr>
    </w:p>
    <w:p>
      <w:pPr>
        <w:numPr>
          <w:ilvl w:val="0"/>
          <w:numId w:val="0"/>
        </w:numPr>
        <w:ind w:leftChars="0" w:firstLine="560" w:firstLineChars="200"/>
        <w:jc w:val="both"/>
        <w:rPr>
          <w:rFonts w:hint="eastAsia" w:ascii="仿宋" w:hAnsi="仿宋" w:eastAsia="仿宋" w:cs="仿宋"/>
          <w:b w:val="0"/>
          <w:bCs w:val="0"/>
          <w:sz w:val="28"/>
          <w:szCs w:val="28"/>
          <w:lang w:val="en-US" w:eastAsia="zh-CN"/>
        </w:rPr>
      </w:pPr>
    </w:p>
    <w:p>
      <w:pPr>
        <w:numPr>
          <w:ilvl w:val="0"/>
          <w:numId w:val="0"/>
        </w:numPr>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ind w:leftChars="0" w:firstLine="420" w:firstLineChars="200"/>
        <w:jc w:val="both"/>
      </w:pPr>
      <w:r>
        <w:drawing>
          <wp:inline distT="0" distB="0" distL="114300" distR="114300">
            <wp:extent cx="4572000" cy="4463415"/>
            <wp:effectExtent l="5080" t="4445" r="13970" b="889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14" w:name="_Toc26814"/>
      <w:bookmarkStart w:id="15" w:name="_Toc9501"/>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3.文献来源分析</w:t>
      </w:r>
      <w:bookmarkEnd w:id="14"/>
      <w:bookmarkEnd w:id="15"/>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年第四季度国内公开发表的97篇论文中，文献来源共计69种，主要集中在河北科技师范学院学报、中国兽医学报、河北科技报、现代农业科技等。其中论文数在5篇以上的有3种，论文数2篇以上的有9种，发表论文最多的刊物是《河北科技师范学院学报》。详见表2。</w:t>
      </w: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leftChars="0" w:firstLine="482" w:firstLineChars="200"/>
        <w:jc w:val="both"/>
        <w:rPr>
          <w:rFonts w:hint="eastAsia" w:ascii="仿宋" w:hAnsi="仿宋" w:eastAsia="仿宋" w:cs="仿宋"/>
          <w:b/>
          <w:bCs/>
          <w:color w:val="000000"/>
          <w:kern w:val="0"/>
          <w:sz w:val="24"/>
          <w:szCs w:val="24"/>
          <w:lang w:val="en-US" w:eastAsia="zh-CN" w:bidi="ar"/>
        </w:rPr>
      </w:pPr>
    </w:p>
    <w:tbl>
      <w:tblPr>
        <w:tblStyle w:val="2"/>
        <w:tblW w:w="4998" w:type="pct"/>
        <w:tblInd w:w="0" w:type="dxa"/>
        <w:shd w:val="clear" w:color="auto" w:fill="auto"/>
        <w:tblLayout w:type="autofit"/>
        <w:tblCellMar>
          <w:top w:w="0" w:type="dxa"/>
          <w:left w:w="0" w:type="dxa"/>
          <w:bottom w:w="0" w:type="dxa"/>
          <w:right w:w="0" w:type="dxa"/>
        </w:tblCellMar>
      </w:tblPr>
      <w:tblGrid>
        <w:gridCol w:w="3171"/>
        <w:gridCol w:w="2070"/>
        <w:gridCol w:w="3092"/>
      </w:tblGrid>
      <w:tr>
        <w:tblPrEx>
          <w:tblCellMar>
            <w:top w:w="0" w:type="dxa"/>
            <w:left w:w="0" w:type="dxa"/>
            <w:bottom w:w="0" w:type="dxa"/>
            <w:right w:w="0" w:type="dxa"/>
          </w:tblCellMar>
        </w:tblPrEx>
        <w:trPr>
          <w:trHeight w:val="615" w:hRule="atLeast"/>
        </w:trPr>
        <w:tc>
          <w:tcPr>
            <w:tcW w:w="1902"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242"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85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1902"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河北科技师范学院学报</w:t>
            </w:r>
          </w:p>
        </w:tc>
        <w:tc>
          <w:tcPr>
            <w:tcW w:w="124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15</w:t>
            </w:r>
          </w:p>
        </w:tc>
        <w:tc>
          <w:tcPr>
            <w:tcW w:w="185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0.557</w:t>
            </w:r>
          </w:p>
        </w:tc>
      </w:tr>
      <w:tr>
        <w:tblPrEx>
          <w:shd w:val="clear" w:color="auto" w:fill="auto"/>
          <w:tblCellMar>
            <w:top w:w="0" w:type="dxa"/>
            <w:left w:w="0" w:type="dxa"/>
            <w:bottom w:w="0" w:type="dxa"/>
            <w:right w:w="0" w:type="dxa"/>
          </w:tblCellMar>
        </w:tblPrEx>
        <w:trPr>
          <w:trHeight w:val="500" w:hRule="atLeast"/>
        </w:trPr>
        <w:tc>
          <w:tcPr>
            <w:tcW w:w="19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w:t>
            </w:r>
          </w:p>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(社会科学版)</w:t>
            </w:r>
          </w:p>
        </w:tc>
        <w:tc>
          <w:tcPr>
            <w:tcW w:w="124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85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0.274</w:t>
            </w:r>
          </w:p>
        </w:tc>
      </w:tr>
      <w:tr>
        <w:tblPrEx>
          <w:shd w:val="clear" w:color="auto" w:fill="auto"/>
          <w:tblCellMar>
            <w:top w:w="0" w:type="dxa"/>
            <w:left w:w="0" w:type="dxa"/>
            <w:bottom w:w="0" w:type="dxa"/>
            <w:right w:w="0" w:type="dxa"/>
          </w:tblCellMar>
        </w:tblPrEx>
        <w:trPr>
          <w:trHeight w:val="500" w:hRule="atLeast"/>
        </w:trPr>
        <w:tc>
          <w:tcPr>
            <w:tcW w:w="1902"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中国兽医学报</w:t>
            </w:r>
          </w:p>
        </w:tc>
        <w:tc>
          <w:tcPr>
            <w:tcW w:w="124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85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0.894</w:t>
            </w:r>
          </w:p>
        </w:tc>
      </w:tr>
      <w:tr>
        <w:tblPrEx>
          <w:shd w:val="clear" w:color="auto" w:fill="auto"/>
          <w:tblCellMar>
            <w:top w:w="0" w:type="dxa"/>
            <w:left w:w="0" w:type="dxa"/>
            <w:bottom w:w="0" w:type="dxa"/>
            <w:right w:w="0" w:type="dxa"/>
          </w:tblCellMar>
        </w:tblPrEx>
        <w:trPr>
          <w:trHeight w:val="500" w:hRule="atLeast"/>
        </w:trPr>
        <w:tc>
          <w:tcPr>
            <w:tcW w:w="190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办公自动化</w:t>
            </w:r>
          </w:p>
        </w:tc>
        <w:tc>
          <w:tcPr>
            <w:tcW w:w="124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855"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r>
      <w:tr>
        <w:tblPrEx>
          <w:shd w:val="clear" w:color="auto" w:fill="auto"/>
          <w:tblCellMar>
            <w:top w:w="0" w:type="dxa"/>
            <w:left w:w="0" w:type="dxa"/>
            <w:bottom w:w="0" w:type="dxa"/>
            <w:right w:w="0" w:type="dxa"/>
          </w:tblCellMar>
        </w:tblPrEx>
        <w:trPr>
          <w:trHeight w:val="500" w:hRule="atLeast"/>
        </w:trPr>
        <w:tc>
          <w:tcPr>
            <w:tcW w:w="1902"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北方园艺</w:t>
            </w:r>
          </w:p>
        </w:tc>
        <w:tc>
          <w:tcPr>
            <w:tcW w:w="124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0.625</w:t>
            </w:r>
          </w:p>
        </w:tc>
      </w:tr>
      <w:tr>
        <w:tblPrEx>
          <w:shd w:val="clear" w:color="auto" w:fill="auto"/>
          <w:tblCellMar>
            <w:top w:w="0" w:type="dxa"/>
            <w:left w:w="0" w:type="dxa"/>
            <w:bottom w:w="0" w:type="dxa"/>
            <w:right w:w="0" w:type="dxa"/>
          </w:tblCellMar>
        </w:tblPrEx>
        <w:trPr>
          <w:trHeight w:val="500" w:hRule="atLeast"/>
        </w:trPr>
        <w:tc>
          <w:tcPr>
            <w:tcW w:w="1902"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河南农业</w:t>
            </w:r>
          </w:p>
        </w:tc>
        <w:tc>
          <w:tcPr>
            <w:tcW w:w="124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r>
      <w:tr>
        <w:tblPrEx>
          <w:shd w:val="clear" w:color="auto" w:fill="auto"/>
          <w:tblCellMar>
            <w:top w:w="0" w:type="dxa"/>
            <w:left w:w="0" w:type="dxa"/>
            <w:bottom w:w="0" w:type="dxa"/>
            <w:right w:w="0" w:type="dxa"/>
          </w:tblCellMar>
        </w:tblPrEx>
        <w:trPr>
          <w:trHeight w:val="500" w:hRule="atLeast"/>
        </w:trPr>
        <w:tc>
          <w:tcPr>
            <w:tcW w:w="190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科技风</w:t>
            </w:r>
          </w:p>
        </w:tc>
        <w:tc>
          <w:tcPr>
            <w:tcW w:w="124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FFFFFF"/>
            <w:noWrap/>
            <w:tcMar>
              <w:top w:w="15" w:type="dxa"/>
              <w:left w:w="15" w:type="dxa"/>
              <w:right w:w="15" w:type="dxa"/>
            </w:tcMar>
            <w:vAlign w:val="center"/>
          </w:tcPr>
          <w:p>
            <w:pPr>
              <w:rPr>
                <w:rFonts w:hint="eastAsia" w:ascii="仿宋" w:hAnsi="仿宋" w:eastAsia="仿宋" w:cs="仿宋"/>
                <w:i w:val="0"/>
                <w:color w:val="000000"/>
                <w:sz w:val="22"/>
                <w:szCs w:val="22"/>
                <w:u w:val="none"/>
              </w:rPr>
            </w:pPr>
          </w:p>
        </w:tc>
      </w:tr>
      <w:tr>
        <w:tblPrEx>
          <w:shd w:val="clear" w:color="auto" w:fill="auto"/>
          <w:tblCellMar>
            <w:top w:w="0" w:type="dxa"/>
            <w:left w:w="0" w:type="dxa"/>
            <w:bottom w:w="0" w:type="dxa"/>
            <w:right w:w="0" w:type="dxa"/>
          </w:tblCellMar>
        </w:tblPrEx>
        <w:trPr>
          <w:trHeight w:val="500" w:hRule="atLeast"/>
        </w:trPr>
        <w:tc>
          <w:tcPr>
            <w:tcW w:w="1902"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南方农业</w:t>
            </w:r>
          </w:p>
        </w:tc>
        <w:tc>
          <w:tcPr>
            <w:tcW w:w="124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r>
      <w:tr>
        <w:tblPrEx>
          <w:shd w:val="clear" w:color="auto" w:fill="auto"/>
          <w:tblCellMar>
            <w:top w:w="0" w:type="dxa"/>
            <w:left w:w="0" w:type="dxa"/>
            <w:bottom w:w="0" w:type="dxa"/>
            <w:right w:w="0" w:type="dxa"/>
          </w:tblCellMar>
        </w:tblPrEx>
        <w:trPr>
          <w:trHeight w:val="500" w:hRule="atLeast"/>
        </w:trPr>
        <w:tc>
          <w:tcPr>
            <w:tcW w:w="190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营销界</w:t>
            </w:r>
          </w:p>
        </w:tc>
        <w:tc>
          <w:tcPr>
            <w:tcW w:w="1242"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55"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bl>
    <w:p>
      <w:pPr>
        <w:numPr>
          <w:ilvl w:val="0"/>
          <w:numId w:val="0"/>
        </w:numPr>
        <w:jc w:val="both"/>
        <w:outlineLvl w:val="1"/>
        <w:rPr>
          <w:rFonts w:hint="eastAsia" w:ascii="仿宋" w:hAnsi="仿宋" w:eastAsia="仿宋" w:cs="仿宋"/>
          <w:b/>
          <w:bCs/>
          <w:sz w:val="30"/>
          <w:szCs w:val="30"/>
          <w:lang w:val="en-US" w:eastAsia="zh-CN"/>
        </w:rPr>
      </w:pPr>
      <w:bookmarkStart w:id="16" w:name="_Toc27178"/>
      <w:bookmarkStart w:id="17" w:name="_Toc9095"/>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4.学科分析</w:t>
      </w:r>
      <w:bookmarkEnd w:id="16"/>
      <w:bookmarkEnd w:id="17"/>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综合分析2020年第四季度国内公开发表的97篇论文中，分别从属20门学科</w:t>
      </w:r>
      <w:r>
        <w:rPr>
          <w:rFonts w:hint="eastAsia" w:ascii="仿宋" w:hAnsi="仿宋" w:eastAsia="仿宋" w:cs="仿宋"/>
          <w:sz w:val="28"/>
          <w:szCs w:val="28"/>
        </w:rPr>
        <w:t>，其中</w:t>
      </w:r>
      <w:r>
        <w:rPr>
          <w:rFonts w:hint="eastAsia" w:ascii="仿宋" w:hAnsi="仿宋" w:eastAsia="仿宋" w:cs="仿宋"/>
          <w:sz w:val="28"/>
          <w:szCs w:val="28"/>
          <w:lang w:val="en-US" w:eastAsia="zh-CN"/>
        </w:rPr>
        <w:t>园艺、生物学、畜牧与动物医学、数学、计算机软件及计算机技术、高等教育、教育理论与教育管理、植物保护等学科发文超过5篇，园艺学发文量最多，发文14篇，具体情况见表3。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2"/>
        <w:tblW w:w="5000" w:type="pct"/>
        <w:tblInd w:w="0" w:type="dxa"/>
        <w:shd w:val="clear" w:color="auto" w:fill="auto"/>
        <w:tblLayout w:type="autofit"/>
        <w:tblCellMar>
          <w:top w:w="0" w:type="dxa"/>
          <w:left w:w="0" w:type="dxa"/>
          <w:bottom w:w="0" w:type="dxa"/>
          <w:right w:w="0" w:type="dxa"/>
        </w:tblCellMar>
      </w:tblPr>
      <w:tblGrid>
        <w:gridCol w:w="649"/>
        <w:gridCol w:w="2717"/>
        <w:gridCol w:w="899"/>
        <w:gridCol w:w="705"/>
        <w:gridCol w:w="2507"/>
        <w:gridCol w:w="859"/>
      </w:tblGrid>
      <w:tr>
        <w:tblPrEx>
          <w:shd w:val="clear" w:color="auto" w:fill="auto"/>
          <w:tblCellMar>
            <w:top w:w="0" w:type="dxa"/>
            <w:left w:w="0" w:type="dxa"/>
            <w:bottom w:w="0" w:type="dxa"/>
            <w:right w:w="0" w:type="dxa"/>
          </w:tblCellMar>
        </w:tblPrEx>
        <w:trPr>
          <w:trHeight w:val="585" w:hRule="atLeast"/>
        </w:trPr>
        <w:tc>
          <w:tcPr>
            <w:tcW w:w="38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2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3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2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0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629"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园艺</w:t>
            </w:r>
          </w:p>
        </w:tc>
        <w:tc>
          <w:tcPr>
            <w:tcW w:w="539"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423"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11</w:t>
            </w:r>
          </w:p>
        </w:tc>
        <w:tc>
          <w:tcPr>
            <w:tcW w:w="150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职业教育</w:t>
            </w:r>
          </w:p>
        </w:tc>
        <w:tc>
          <w:tcPr>
            <w:tcW w:w="51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62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生物学</w:t>
            </w:r>
          </w:p>
        </w:tc>
        <w:tc>
          <w:tcPr>
            <w:tcW w:w="53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423"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1503"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旅游</w:t>
            </w:r>
          </w:p>
        </w:tc>
        <w:tc>
          <w:tcPr>
            <w:tcW w:w="515" w:type="pct"/>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629"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畜牧与动物医学</w:t>
            </w:r>
          </w:p>
        </w:tc>
        <w:tc>
          <w:tcPr>
            <w:tcW w:w="539"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42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13</w:t>
            </w:r>
          </w:p>
        </w:tc>
        <w:tc>
          <w:tcPr>
            <w:tcW w:w="150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自动化技术</w:t>
            </w:r>
          </w:p>
        </w:tc>
        <w:tc>
          <w:tcPr>
            <w:tcW w:w="51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62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数学</w:t>
            </w:r>
          </w:p>
        </w:tc>
        <w:tc>
          <w:tcPr>
            <w:tcW w:w="53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2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14</w:t>
            </w:r>
          </w:p>
        </w:tc>
        <w:tc>
          <w:tcPr>
            <w:tcW w:w="150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农作物</w:t>
            </w:r>
          </w:p>
        </w:tc>
        <w:tc>
          <w:tcPr>
            <w:tcW w:w="51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629"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计算机软件及计算机技术</w:t>
            </w:r>
          </w:p>
        </w:tc>
        <w:tc>
          <w:tcPr>
            <w:tcW w:w="539"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2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15</w:t>
            </w:r>
          </w:p>
        </w:tc>
        <w:tc>
          <w:tcPr>
            <w:tcW w:w="1503"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中等教育</w:t>
            </w:r>
          </w:p>
        </w:tc>
        <w:tc>
          <w:tcPr>
            <w:tcW w:w="515"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162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高等教育</w:t>
            </w:r>
          </w:p>
        </w:tc>
        <w:tc>
          <w:tcPr>
            <w:tcW w:w="53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2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16</w:t>
            </w:r>
          </w:p>
        </w:tc>
        <w:tc>
          <w:tcPr>
            <w:tcW w:w="1503"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体育</w:t>
            </w:r>
          </w:p>
        </w:tc>
        <w:tc>
          <w:tcPr>
            <w:tcW w:w="515"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1629"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教育理论与教育管理</w:t>
            </w:r>
          </w:p>
        </w:tc>
        <w:tc>
          <w:tcPr>
            <w:tcW w:w="539"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23"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17</w:t>
            </w:r>
          </w:p>
        </w:tc>
        <w:tc>
          <w:tcPr>
            <w:tcW w:w="1503"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建筑科学与工程</w:t>
            </w:r>
          </w:p>
        </w:tc>
        <w:tc>
          <w:tcPr>
            <w:tcW w:w="515"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162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植物保护</w:t>
            </w:r>
          </w:p>
        </w:tc>
        <w:tc>
          <w:tcPr>
            <w:tcW w:w="53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2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18</w:t>
            </w:r>
          </w:p>
        </w:tc>
        <w:tc>
          <w:tcPr>
            <w:tcW w:w="150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轻工业手工业</w:t>
            </w:r>
          </w:p>
        </w:tc>
        <w:tc>
          <w:tcPr>
            <w:tcW w:w="515"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18" w:name="_Toc23516"/>
            <w:bookmarkStart w:id="19" w:name="_Toc28217"/>
            <w:r>
              <w:rPr>
                <w:rFonts w:hint="eastAsia" w:ascii="仿宋" w:hAnsi="仿宋" w:eastAsia="仿宋" w:cs="仿宋"/>
                <w:i w:val="0"/>
                <w:color w:val="000000"/>
                <w:kern w:val="0"/>
                <w:sz w:val="24"/>
                <w:szCs w:val="24"/>
                <w:u w:val="none"/>
                <w:lang w:val="en-US" w:eastAsia="zh-CN" w:bidi="ar"/>
              </w:rPr>
              <w:t>9</w:t>
            </w:r>
          </w:p>
        </w:tc>
        <w:tc>
          <w:tcPr>
            <w:tcW w:w="1629"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公路与水路运输</w:t>
            </w:r>
          </w:p>
        </w:tc>
        <w:tc>
          <w:tcPr>
            <w:tcW w:w="539"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423"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19</w:t>
            </w:r>
          </w:p>
        </w:tc>
        <w:tc>
          <w:tcPr>
            <w:tcW w:w="1503"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贸易经济</w:t>
            </w:r>
          </w:p>
        </w:tc>
        <w:tc>
          <w:tcPr>
            <w:tcW w:w="515"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162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环境科学与资源利用</w:t>
            </w:r>
          </w:p>
        </w:tc>
        <w:tc>
          <w:tcPr>
            <w:tcW w:w="53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42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20</w:t>
            </w:r>
          </w:p>
        </w:tc>
        <w:tc>
          <w:tcPr>
            <w:tcW w:w="150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工业通用技术及设备</w:t>
            </w:r>
          </w:p>
        </w:tc>
        <w:tc>
          <w:tcPr>
            <w:tcW w:w="515"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5.作者分析</w:t>
      </w:r>
      <w:bookmarkEnd w:id="18"/>
      <w:bookmarkEnd w:id="19"/>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2020年第四季度国内公开发表的97篇论文中，发文超过三篇文献的作者有11人，分别是：张志强、史秋梅、吴同垒、杜万年、刘玉艳、汪洋、王苗、刘勃兴、吕金凤、徐宁伟、张立彬；发文2篇以上文献的作者有48人。详情见图3。</w:t>
      </w:r>
    </w:p>
    <w:p>
      <w:pPr>
        <w:spacing w:line="480" w:lineRule="auto"/>
        <w:jc w:val="center"/>
        <w:rPr>
          <w:rFonts w:hint="eastAsia" w:ascii="微软雅黑" w:hAnsi="微软雅黑" w:eastAsia="微软雅黑" w:cs="微软雅黑"/>
          <w:sz w:val="21"/>
          <w:szCs w:val="21"/>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发文作者分布</w:t>
      </w:r>
    </w:p>
    <w:p>
      <w:pPr>
        <w:spacing w:line="480" w:lineRule="auto"/>
        <w:jc w:val="center"/>
      </w:pP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20" w:name="_Toc23809"/>
      <w:bookmarkStart w:id="21" w:name="_Toc27929"/>
    </w:p>
    <w:p>
      <w:pPr>
        <w:numPr>
          <w:ilvl w:val="0"/>
          <w:numId w:val="0"/>
        </w:numPr>
        <w:jc w:val="both"/>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6.合作单位分析</w:t>
      </w:r>
      <w:bookmarkEnd w:id="20"/>
      <w:bookmarkEnd w:id="21"/>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综合分析2020年第四季度国内公开发表的97篇论文中，合作发文超过2篇的合作单位有6个，其中合作发文最多的是河北省预防兽医学重点实验室，合作发文3篇，具体分布见图4。</w:t>
      </w:r>
    </w:p>
    <w:p>
      <w:pPr>
        <w:spacing w:line="480" w:lineRule="auto"/>
        <w:ind w:firstLine="482" w:firstLineChars="200"/>
        <w:jc w:val="center"/>
        <w:rPr>
          <w:rFonts w:hint="eastAsia" w:ascii="仿宋" w:hAnsi="仿宋" w:eastAsia="仿宋" w:cs="仿宋"/>
          <w:b/>
          <w:bCs/>
          <w:sz w:val="24"/>
          <w:szCs w:val="24"/>
          <w:lang w:val="en-US" w:eastAsia="zh-CN"/>
        </w:rPr>
      </w:pPr>
    </w:p>
    <w:p>
      <w:pPr>
        <w:spacing w:line="480" w:lineRule="auto"/>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spacing w:line="480" w:lineRule="auto"/>
        <w:jc w:val="center"/>
      </w:pPr>
      <w:r>
        <w:drawing>
          <wp:inline distT="0" distB="0" distL="114300" distR="114300">
            <wp:extent cx="4572000" cy="2768600"/>
            <wp:effectExtent l="4445" t="4445" r="14605" b="825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22" w:name="_Toc509"/>
      <w:bookmarkStart w:id="23" w:name="_Toc28119"/>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7.基金分析</w:t>
      </w:r>
      <w:bookmarkEnd w:id="22"/>
      <w:bookmarkEnd w:id="23"/>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综合分析2020年第四季度国内公开发表的97篇论文中，基金资助超过两篇文章的有20个，其中资助文献最多的基金是国家重点研发计划和河北省自然科学基金，各资助发文4篇，具体分布见表4。</w:t>
      </w: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2"/>
        <w:tblW w:w="4998" w:type="pct"/>
        <w:tblInd w:w="0" w:type="dxa"/>
        <w:shd w:val="clear" w:color="auto" w:fill="auto"/>
        <w:tblLayout w:type="autofit"/>
        <w:tblCellMar>
          <w:top w:w="0" w:type="dxa"/>
          <w:left w:w="0" w:type="dxa"/>
          <w:bottom w:w="0" w:type="dxa"/>
          <w:right w:w="0" w:type="dxa"/>
        </w:tblCellMar>
      </w:tblPr>
      <w:tblGrid>
        <w:gridCol w:w="815"/>
        <w:gridCol w:w="6331"/>
        <w:gridCol w:w="1187"/>
      </w:tblGrid>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7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1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37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国家自然科学基金项目</w:t>
            </w:r>
          </w:p>
        </w:tc>
        <w:tc>
          <w:tcPr>
            <w:tcW w:w="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37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河北省自然科学基金项目</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37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国家重点研发计划项目</w:t>
            </w:r>
          </w:p>
        </w:tc>
        <w:tc>
          <w:tcPr>
            <w:tcW w:w="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37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河北科技师范学院海洋科学研究专项</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37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河北省高等学校科学技术研究项目</w:t>
            </w:r>
          </w:p>
        </w:tc>
        <w:tc>
          <w:tcPr>
            <w:tcW w:w="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37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2020年度河北省社会科学发展研究课题</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37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河北科技师范学院教学研究项目</w:t>
            </w:r>
          </w:p>
        </w:tc>
        <w:tc>
          <w:tcPr>
            <w:tcW w:w="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37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河北省教育厅2018年度高等学校青年拔尖人才计划基金项目</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37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河北省教育厅资助项目</w:t>
            </w:r>
          </w:p>
        </w:tc>
        <w:tc>
          <w:tcPr>
            <w:tcW w:w="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37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河北省蔬菜产业体系病虫害绿色防控岗位项目</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37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河北省重点研发计划项目</w:t>
            </w:r>
          </w:p>
        </w:tc>
        <w:tc>
          <w:tcPr>
            <w:tcW w:w="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37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河北省自然科学基金青年科学基金项目</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48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37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中国博士后科学基金资助项目</w:t>
            </w:r>
          </w:p>
        </w:tc>
        <w:tc>
          <w:tcPr>
            <w:tcW w:w="71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24" w:name="_Toc22505"/>
      <w:r>
        <w:rPr>
          <w:rFonts w:hint="eastAsia" w:ascii="仿宋" w:hAnsi="仿宋" w:eastAsia="仿宋" w:cs="仿宋"/>
          <w:b/>
          <w:bCs/>
          <w:sz w:val="30"/>
          <w:szCs w:val="30"/>
          <w:lang w:val="en-US" w:eastAsia="zh-CN"/>
        </w:rPr>
        <w:t>8.指标分析</w:t>
      </w:r>
      <w:bookmarkEnd w:id="24"/>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综合分析2020年第四季度国内公开发表论文，文献总数97篇，总参考1208篇文献，篇均参考12.45篇文献；总被引5篇文献，篇均被引0.05篇文献；总下载文献数为7553，篇均下载文献数为77.66。详情参见表5.</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2"/>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tblCellMar>
            <w:top w:w="0" w:type="dxa"/>
            <w:left w:w="0" w:type="dxa"/>
            <w:bottom w:w="0" w:type="dxa"/>
            <w:right w:w="0" w:type="dxa"/>
          </w:tblCellMar>
        </w:tblPrEx>
        <w:trPr>
          <w:trHeight w:val="58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left"/>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97</w:t>
            </w:r>
          </w:p>
        </w:tc>
        <w:tc>
          <w:tcPr>
            <w:tcW w:w="66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Chars="100"/>
              <w:jc w:val="both"/>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1208</w:t>
            </w:r>
          </w:p>
        </w:tc>
        <w:tc>
          <w:tcPr>
            <w:tcW w:w="66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480" w:firstLineChars="200"/>
              <w:jc w:val="both"/>
              <w:textAlignment w:val="center"/>
              <w:rPr>
                <w:rFonts w:hint="eastAsia" w:ascii="仿宋" w:hAnsi="仿宋" w:eastAsia="仿宋" w:cs="仿宋"/>
                <w:i w:val="0"/>
                <w:color w:val="555555"/>
                <w:sz w:val="24"/>
                <w:szCs w:val="24"/>
                <w:u w:val="none"/>
                <w:lang w:val="en-US" w:eastAsia="zh-CN"/>
              </w:rPr>
            </w:pPr>
            <w:r>
              <w:rPr>
                <w:rFonts w:hint="eastAsia" w:ascii="仿宋" w:hAnsi="仿宋" w:eastAsia="仿宋" w:cs="仿宋"/>
                <w:i w:val="0"/>
                <w:color w:val="555555"/>
                <w:sz w:val="24"/>
                <w:szCs w:val="24"/>
                <w:u w:val="none"/>
                <w:lang w:val="en-US" w:eastAsia="zh-CN"/>
              </w:rPr>
              <w:t>5</w:t>
            </w:r>
          </w:p>
        </w:tc>
        <w:tc>
          <w:tcPr>
            <w:tcW w:w="66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both"/>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7553</w:t>
            </w:r>
          </w:p>
        </w:tc>
        <w:tc>
          <w:tcPr>
            <w:tcW w:w="8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both"/>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12.45</w:t>
            </w:r>
          </w:p>
        </w:tc>
        <w:tc>
          <w:tcPr>
            <w:tcW w:w="8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both"/>
              <w:textAlignment w:val="center"/>
              <w:rPr>
                <w:rFonts w:hint="eastAsia" w:ascii="仿宋" w:hAnsi="仿宋" w:eastAsia="仿宋" w:cs="仿宋"/>
                <w:i w:val="0"/>
                <w:color w:val="555555"/>
                <w:sz w:val="24"/>
                <w:szCs w:val="24"/>
                <w:u w:val="none"/>
              </w:rPr>
            </w:pPr>
            <w:r>
              <w:rPr>
                <w:rFonts w:hint="eastAsia" w:ascii="仿宋" w:hAnsi="仿宋" w:eastAsia="仿宋" w:cs="仿宋"/>
                <w:i w:val="0"/>
                <w:color w:val="555555"/>
                <w:kern w:val="0"/>
                <w:sz w:val="24"/>
                <w:szCs w:val="24"/>
                <w:u w:val="none"/>
                <w:lang w:val="en-US" w:eastAsia="zh-CN" w:bidi="ar"/>
              </w:rPr>
              <w:t>0.05</w:t>
            </w:r>
          </w:p>
        </w:tc>
        <w:tc>
          <w:tcPr>
            <w:tcW w:w="83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ind w:firstLine="240" w:firstLineChars="100"/>
              <w:jc w:val="both"/>
              <w:textAlignment w:val="center"/>
              <w:rPr>
                <w:rFonts w:hint="default" w:ascii="仿宋" w:hAnsi="仿宋" w:eastAsia="仿宋" w:cs="仿宋"/>
                <w:i w:val="0"/>
                <w:color w:val="555555"/>
                <w:sz w:val="24"/>
                <w:szCs w:val="24"/>
                <w:u w:val="none"/>
                <w:lang w:val="en-US"/>
              </w:rPr>
            </w:pPr>
            <w:r>
              <w:rPr>
                <w:rFonts w:hint="eastAsia" w:ascii="仿宋" w:hAnsi="仿宋" w:eastAsia="仿宋" w:cs="仿宋"/>
                <w:i w:val="0"/>
                <w:color w:val="555555"/>
                <w:kern w:val="0"/>
                <w:sz w:val="24"/>
                <w:szCs w:val="24"/>
                <w:u w:val="none"/>
                <w:lang w:val="en-US" w:eastAsia="zh-CN" w:bidi="ar"/>
              </w:rPr>
              <w:t>77.66</w:t>
            </w:r>
          </w:p>
        </w:tc>
      </w:tr>
    </w:tbl>
    <w:p>
      <w:pPr>
        <w:numPr>
          <w:ilvl w:val="0"/>
          <w:numId w:val="0"/>
        </w:numPr>
        <w:jc w:val="both"/>
        <w:outlineLvl w:val="9"/>
        <w:rPr>
          <w:rFonts w:hint="eastAsia" w:ascii="黑体" w:hAnsi="黑体" w:eastAsia="黑体" w:cs="黑体"/>
          <w:b/>
          <w:bCs/>
          <w:sz w:val="30"/>
          <w:szCs w:val="30"/>
          <w:lang w:val="en-US" w:eastAsia="zh-CN"/>
        </w:rPr>
      </w:pPr>
      <w:bookmarkStart w:id="25" w:name="_Toc25917"/>
    </w:p>
    <w:p>
      <w:pPr>
        <w:numPr>
          <w:ilvl w:val="0"/>
          <w:numId w:val="0"/>
        </w:numPr>
        <w:jc w:val="both"/>
        <w:outlineLvl w:val="0"/>
        <w:rPr>
          <w:rFonts w:hint="eastAsia" w:ascii="黑体" w:hAnsi="黑体" w:eastAsia="黑体" w:cs="黑体"/>
          <w:b/>
          <w:bCs/>
          <w:sz w:val="30"/>
          <w:szCs w:val="30"/>
          <w:lang w:val="en-US" w:eastAsia="zh-CN"/>
        </w:rPr>
      </w:pPr>
      <w:bookmarkStart w:id="26" w:name="_Toc30657"/>
      <w:r>
        <w:rPr>
          <w:rFonts w:hint="eastAsia" w:ascii="黑体" w:hAnsi="黑体" w:eastAsia="黑体" w:cs="黑体"/>
          <w:b/>
          <w:bCs/>
          <w:sz w:val="32"/>
          <w:szCs w:val="32"/>
          <w:lang w:val="en-US" w:eastAsia="zh-CN"/>
        </w:rPr>
        <w:t>二、外文发文情况统计分析</w:t>
      </w:r>
      <w:bookmarkEnd w:id="25"/>
      <w:bookmarkEnd w:id="26"/>
    </w:p>
    <w:p>
      <w:pPr>
        <w:numPr>
          <w:ilvl w:val="0"/>
          <w:numId w:val="0"/>
        </w:numPr>
        <w:jc w:val="both"/>
        <w:outlineLvl w:val="1"/>
        <w:rPr>
          <w:rFonts w:hint="eastAsia" w:ascii="仿宋" w:hAnsi="仿宋" w:eastAsia="仿宋" w:cs="仿宋"/>
          <w:b/>
          <w:bCs/>
          <w:sz w:val="30"/>
          <w:szCs w:val="30"/>
          <w:lang w:val="en-US" w:eastAsia="zh-CN"/>
        </w:rPr>
      </w:pPr>
      <w:bookmarkStart w:id="27" w:name="_Toc4689"/>
      <w:bookmarkStart w:id="28" w:name="_Toc21827"/>
      <w:r>
        <w:rPr>
          <w:rFonts w:hint="eastAsia" w:ascii="仿宋" w:hAnsi="仿宋" w:eastAsia="仿宋" w:cs="仿宋"/>
          <w:b/>
          <w:bCs/>
          <w:sz w:val="30"/>
          <w:szCs w:val="30"/>
          <w:lang w:val="en-US" w:eastAsia="zh-CN"/>
        </w:rPr>
        <w:t>1.发文量分析</w:t>
      </w:r>
      <w:bookmarkEnd w:id="27"/>
      <w:bookmarkEnd w:id="28"/>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仿宋" w:hAnsi="仿宋" w:eastAsia="仿宋" w:cs="仿宋"/>
          <w:sz w:val="28"/>
          <w:szCs w:val="28"/>
          <w:lang w:val="en-US" w:eastAsia="zh-CN"/>
        </w:rPr>
        <w:t>Web of Science</w:t>
      </w:r>
      <w:r>
        <w:rPr>
          <w:rFonts w:hint="eastAsia" w:ascii="仿宋" w:hAnsi="仿宋" w:eastAsia="仿宋" w:cs="仿宋"/>
          <w:sz w:val="28"/>
          <w:szCs w:val="28"/>
        </w:rPr>
        <w:t>（</w:t>
      </w:r>
      <w:r>
        <w:rPr>
          <w:rFonts w:hint="eastAsia" w:ascii="仿宋" w:hAnsi="仿宋" w:eastAsia="仿宋" w:cs="仿宋"/>
          <w:sz w:val="28"/>
          <w:szCs w:val="28"/>
          <w:lang w:val="en-US" w:eastAsia="zh-CN"/>
        </w:rPr>
        <w:t>WOS</w:t>
      </w:r>
      <w:r>
        <w:rPr>
          <w:rFonts w:hint="eastAsia" w:ascii="仿宋" w:hAnsi="仿宋" w:eastAsia="仿宋" w:cs="仿宋"/>
          <w:sz w:val="28"/>
          <w:szCs w:val="28"/>
        </w:rPr>
        <w:t>）检索，在20</w:t>
      </w:r>
      <w:r>
        <w:rPr>
          <w:rFonts w:hint="eastAsia" w:ascii="仿宋" w:hAnsi="仿宋" w:eastAsia="仿宋" w:cs="仿宋"/>
          <w:sz w:val="28"/>
          <w:szCs w:val="28"/>
          <w:lang w:val="en-US" w:eastAsia="zh-CN"/>
        </w:rPr>
        <w:t>20年第四季度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34</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11.3</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9</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26.5</w:t>
      </w:r>
      <w:r>
        <w:rPr>
          <w:rFonts w:hint="eastAsia" w:ascii="仿宋" w:hAnsi="仿宋" w:eastAsia="仿宋" w:cs="仿宋"/>
          <w:sz w:val="28"/>
          <w:szCs w:val="28"/>
        </w:rPr>
        <w:t xml:space="preserve"> %。（见表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pPr>
        <w:spacing w:line="480" w:lineRule="auto"/>
        <w:ind w:firstLine="560" w:firstLineChars="200"/>
        <w:rPr>
          <w:rFonts w:hint="eastAsia" w:ascii="仿宋" w:hAnsi="仿宋" w:eastAsia="仿宋" w:cs="仿宋"/>
          <w:sz w:val="28"/>
          <w:szCs w:val="28"/>
        </w:rPr>
      </w:pPr>
    </w:p>
    <w:p>
      <w:pPr>
        <w:spacing w:line="480" w:lineRule="auto"/>
        <w:ind w:firstLine="560" w:firstLineChars="200"/>
        <w:rPr>
          <w:rFonts w:hint="eastAsia" w:ascii="仿宋" w:hAnsi="仿宋" w:eastAsia="仿宋" w:cs="仿宋"/>
          <w:sz w:val="28"/>
          <w:szCs w:val="28"/>
        </w:rPr>
      </w:pP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2020年第四季度国外</w:t>
      </w:r>
      <w:r>
        <w:rPr>
          <w:rFonts w:hint="eastAsia" w:ascii="仿宋" w:hAnsi="仿宋" w:eastAsia="仿宋" w:cs="仿宋"/>
          <w:b/>
          <w:bCs/>
          <w:color w:val="000000"/>
          <w:kern w:val="0"/>
          <w:sz w:val="24"/>
          <w:szCs w:val="24"/>
          <w:lang w:bidi="ar"/>
        </w:rPr>
        <w:t>期刊发文情况统计表</w:t>
      </w:r>
    </w:p>
    <w:tbl>
      <w:tblPr>
        <w:tblStyle w:val="2"/>
        <w:tblW w:w="4998" w:type="pct"/>
        <w:jc w:val="center"/>
        <w:tblLayout w:type="autofit"/>
        <w:tblCellMar>
          <w:top w:w="15" w:type="dxa"/>
          <w:left w:w="15" w:type="dxa"/>
          <w:bottom w:w="15" w:type="dxa"/>
          <w:right w:w="15" w:type="dxa"/>
        </w:tblCellMar>
      </w:tblPr>
      <w:tblGrid>
        <w:gridCol w:w="2643"/>
        <w:gridCol w:w="2699"/>
        <w:gridCol w:w="2991"/>
      </w:tblGrid>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2020年10月</w:t>
            </w:r>
          </w:p>
        </w:tc>
        <w:tc>
          <w:tcPr>
            <w:tcW w:w="1619"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12</w:t>
            </w:r>
          </w:p>
        </w:tc>
        <w:tc>
          <w:tcPr>
            <w:tcW w:w="1794"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2020年11月</w:t>
            </w:r>
          </w:p>
        </w:tc>
        <w:tc>
          <w:tcPr>
            <w:tcW w:w="1619"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w:t>
            </w:r>
          </w:p>
        </w:tc>
        <w:tc>
          <w:tcPr>
            <w:tcW w:w="1794"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val="en-US" w:eastAsia="zh-CN" w:bidi="ar"/>
              </w:rPr>
              <w:t>2</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2020年12月</w:t>
            </w:r>
          </w:p>
        </w:tc>
        <w:tc>
          <w:tcPr>
            <w:tcW w:w="1619"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13</w:t>
            </w:r>
          </w:p>
        </w:tc>
        <w:tc>
          <w:tcPr>
            <w:tcW w:w="1794"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1619"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34</w:t>
            </w:r>
          </w:p>
        </w:tc>
        <w:tc>
          <w:tcPr>
            <w:tcW w:w="1794"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w:t>
            </w:r>
          </w:p>
        </w:tc>
      </w:tr>
    </w:tbl>
    <w:p>
      <w:pPr>
        <w:numPr>
          <w:ilvl w:val="0"/>
          <w:numId w:val="0"/>
        </w:numPr>
        <w:jc w:val="both"/>
        <w:outlineLvl w:val="1"/>
        <w:rPr>
          <w:rFonts w:hint="eastAsia" w:ascii="仿宋" w:hAnsi="仿宋" w:eastAsia="仿宋" w:cs="仿宋"/>
          <w:b/>
          <w:bCs/>
          <w:sz w:val="30"/>
          <w:szCs w:val="30"/>
          <w:lang w:val="en-US" w:eastAsia="zh-CN"/>
        </w:rPr>
      </w:pPr>
      <w:bookmarkStart w:id="29" w:name="_Toc24142"/>
      <w:bookmarkStart w:id="30" w:name="_Toc16394"/>
    </w:p>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2.学科分析</w:t>
      </w:r>
      <w:bookmarkEnd w:id="29"/>
      <w:bookmarkEnd w:id="30"/>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eastAsia" w:ascii="仿宋" w:hAnsi="仿宋" w:eastAsia="仿宋" w:cs="仿宋"/>
          <w:i w:val="0"/>
          <w:iCs w:val="0"/>
          <w:color w:val="000000"/>
          <w:kern w:val="0"/>
          <w:sz w:val="22"/>
          <w:szCs w:val="22"/>
          <w:u w:val="none"/>
          <w:lang w:val="en-US" w:eastAsia="zh-CN" w:bidi="ar"/>
        </w:rPr>
        <w:t>Chemistry, Physical</w:t>
      </w:r>
      <w:r>
        <w:rPr>
          <w:rFonts w:hint="eastAsia" w:ascii="仿宋" w:hAnsi="仿宋" w:eastAsia="仿宋" w:cs="仿宋"/>
          <w:i w:val="0"/>
          <w:iCs w:val="0"/>
          <w:color w:val="000000"/>
          <w:kern w:val="0"/>
          <w:sz w:val="28"/>
          <w:szCs w:val="28"/>
          <w:u w:val="none"/>
          <w:lang w:val="en-US" w:eastAsia="zh-CN" w:bidi="ar"/>
        </w:rPr>
        <w:t>和</w:t>
      </w:r>
      <w:r>
        <w:rPr>
          <w:rFonts w:hint="eastAsia" w:ascii="仿宋" w:hAnsi="仿宋" w:eastAsia="仿宋" w:cs="仿宋"/>
          <w:i w:val="0"/>
          <w:iCs w:val="0"/>
          <w:color w:val="000000"/>
          <w:kern w:val="0"/>
          <w:sz w:val="22"/>
          <w:szCs w:val="22"/>
          <w:u w:val="none"/>
          <w:lang w:val="en-US" w:eastAsia="zh-CN" w:bidi="ar"/>
        </w:rPr>
        <w:t>Materials Science, Multidisciplinary</w:t>
      </w:r>
      <w:r>
        <w:rPr>
          <w:rFonts w:hint="eastAsia" w:ascii="仿宋" w:hAnsi="仿宋" w:eastAsia="仿宋" w:cs="仿宋"/>
          <w:sz w:val="28"/>
          <w:szCs w:val="28"/>
          <w:lang w:val="en-US" w:eastAsia="zh-CN"/>
        </w:rPr>
        <w:t>学科各发文6篇，为最多发文学科。</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2"/>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Chemistry, Physical</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Materials Science,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Engineering, Electrical &amp; Electronic</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Optics</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Agriculture,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Biotechnology &amp; Applied Microbiology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Chemistry, Multidisciplinary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Computer Science, Information Systems</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Engineering, Civil</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Immunology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11</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Microbiology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12</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Nanoscience &amp; Nanotechnology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bookmarkStart w:id="31" w:name="_Toc14746"/>
            <w:r>
              <w:rPr>
                <w:rFonts w:hint="eastAsia" w:ascii="仿宋" w:hAnsi="仿宋" w:eastAsia="仿宋" w:cs="仿宋"/>
                <w:i w:val="0"/>
                <w:color w:val="000000"/>
                <w:kern w:val="0"/>
                <w:sz w:val="22"/>
                <w:szCs w:val="22"/>
                <w:u w:val="none"/>
                <w:lang w:val="en-US" w:eastAsia="zh-CN" w:bidi="ar"/>
              </w:rPr>
              <w:t>13</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Oceanography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14</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Pharmacology &amp; Pharmacy</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15</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Plant Sciences</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16</w:t>
            </w:r>
          </w:p>
        </w:tc>
        <w:tc>
          <w:tcPr>
            <w:tcW w:w="28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Telecommunications</w:t>
            </w:r>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17</w:t>
            </w:r>
          </w:p>
        </w:tc>
        <w:tc>
          <w:tcPr>
            <w:tcW w:w="289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Transportation Science &amp; Technology</w:t>
            </w:r>
          </w:p>
        </w:tc>
        <w:tc>
          <w:tcPr>
            <w:tcW w:w="1387"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bl>
    <w:p>
      <w:pPr>
        <w:numPr>
          <w:ilvl w:val="0"/>
          <w:numId w:val="0"/>
        </w:numPr>
        <w:ind w:leftChars="0"/>
        <w:jc w:val="both"/>
        <w:outlineLvl w:val="9"/>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32" w:name="_Toc1663"/>
      <w:r>
        <w:rPr>
          <w:rFonts w:hint="eastAsia" w:ascii="仿宋" w:hAnsi="仿宋" w:eastAsia="仿宋" w:cs="仿宋"/>
          <w:b/>
          <w:bCs/>
          <w:sz w:val="30"/>
          <w:szCs w:val="30"/>
          <w:lang w:val="en-US" w:eastAsia="zh-CN"/>
        </w:rPr>
        <w:t>3.研究方向分析</w:t>
      </w:r>
      <w:bookmarkEnd w:id="31"/>
      <w:bookmarkEnd w:id="32"/>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综合分析2020年第四季度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eastAsia" w:ascii="仿宋" w:hAnsi="仿宋" w:eastAsia="仿宋" w:cs="仿宋"/>
          <w:i w:val="0"/>
          <w:color w:val="000000"/>
          <w:kern w:val="0"/>
          <w:sz w:val="22"/>
          <w:szCs w:val="22"/>
          <w:u w:val="none"/>
          <w:lang w:val="en-US" w:eastAsia="zh-CN" w:bidi="ar"/>
        </w:rPr>
        <w:t>Chemistry</w:t>
      </w:r>
      <w:r>
        <w:rPr>
          <w:rFonts w:hint="eastAsia" w:ascii="仿宋" w:hAnsi="仿宋" w:eastAsia="仿宋" w:cs="仿宋"/>
          <w:sz w:val="28"/>
          <w:szCs w:val="28"/>
          <w:lang w:val="en-US" w:eastAsia="zh-CN"/>
        </w:rPr>
        <w:t>研究方向发文9篇，为最多研究方向。</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2"/>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Chemistry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Materials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Optics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Science &amp; Technology - Other Topics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Biotechnology &amp; Applied 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Computer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Immunology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Oceanography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Pharmacology &amp; Pharmacy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14</w:t>
            </w:r>
          </w:p>
        </w:tc>
        <w:tc>
          <w:tcPr>
            <w:tcW w:w="480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Telecommunications</w:t>
            </w:r>
          </w:p>
        </w:tc>
        <w:tc>
          <w:tcPr>
            <w:tcW w:w="231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Transportation</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33" w:name="_Toc11441"/>
      <w:bookmarkStart w:id="34" w:name="_Toc32538"/>
      <w:r>
        <w:rPr>
          <w:rFonts w:hint="eastAsia" w:ascii="仿宋" w:hAnsi="仿宋" w:eastAsia="仿宋" w:cs="仿宋"/>
          <w:b/>
          <w:bCs/>
          <w:sz w:val="30"/>
          <w:szCs w:val="30"/>
          <w:lang w:val="en-US" w:eastAsia="zh-CN"/>
        </w:rPr>
        <w:t>4.文献来源分析</w:t>
      </w:r>
      <w:bookmarkEnd w:id="33"/>
      <w:bookmarkEnd w:id="34"/>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文献来源共计33种，发文超过两篇的期刊共一种（详见表9），</w:t>
      </w:r>
      <w:r>
        <w:rPr>
          <w:rFonts w:hint="default" w:ascii="Calibri" w:hAnsi="Calibri" w:eastAsia="宋体" w:cs="Calibri"/>
          <w:i w:val="0"/>
          <w:color w:val="000000"/>
          <w:kern w:val="0"/>
          <w:sz w:val="24"/>
          <w:szCs w:val="24"/>
          <w:u w:val="none"/>
          <w:lang w:val="en-US" w:eastAsia="zh-CN" w:bidi="ar"/>
        </w:rPr>
        <w:t>IEEE ACCESS</w:t>
      </w:r>
      <w:r>
        <w:rPr>
          <w:rFonts w:hint="eastAsia" w:ascii="仿宋" w:hAnsi="仿宋" w:eastAsia="仿宋" w:cs="仿宋"/>
          <w:sz w:val="28"/>
          <w:szCs w:val="28"/>
          <w:lang w:val="en-US" w:eastAsia="zh-CN"/>
        </w:rPr>
        <w:t>，为最多发文期刊。</w:t>
      </w: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2"/>
        <w:tblW w:w="4998" w:type="pct"/>
        <w:tblInd w:w="0" w:type="dxa"/>
        <w:shd w:val="clear" w:color="auto" w:fill="auto"/>
        <w:tblLayout w:type="autofit"/>
        <w:tblCellMar>
          <w:top w:w="0" w:type="dxa"/>
          <w:left w:w="0" w:type="dxa"/>
          <w:bottom w:w="0" w:type="dxa"/>
          <w:right w:w="0" w:type="dxa"/>
        </w:tblCellMar>
      </w:tblPr>
      <w:tblGrid>
        <w:gridCol w:w="1205"/>
        <w:gridCol w:w="3991"/>
        <w:gridCol w:w="1454"/>
        <w:gridCol w:w="1683"/>
      </w:tblGrid>
      <w:tr>
        <w:tblPrEx>
          <w:shd w:val="clear" w:color="auto" w:fill="auto"/>
          <w:tblCellMar>
            <w:top w:w="0" w:type="dxa"/>
            <w:left w:w="0" w:type="dxa"/>
            <w:bottom w:w="0" w:type="dxa"/>
            <w:right w:w="0" w:type="dxa"/>
          </w:tblCellMar>
        </w:tblPrEx>
        <w:trPr>
          <w:trHeight w:val="500" w:hRule="atLeast"/>
        </w:trPr>
        <w:tc>
          <w:tcPr>
            <w:tcW w:w="72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3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87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0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r>
      <w:tr>
        <w:tblPrEx>
          <w:shd w:val="clear" w:color="auto" w:fill="auto"/>
          <w:tblCellMar>
            <w:top w:w="0" w:type="dxa"/>
            <w:left w:w="0" w:type="dxa"/>
            <w:bottom w:w="0" w:type="dxa"/>
            <w:right w:w="0" w:type="dxa"/>
          </w:tblCellMar>
        </w:tblPrEx>
        <w:trPr>
          <w:trHeight w:val="500" w:hRule="atLeast"/>
        </w:trPr>
        <w:tc>
          <w:tcPr>
            <w:tcW w:w="72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39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b w:val="0"/>
                <w:bCs w:val="0"/>
                <w:i w:val="0"/>
                <w:color w:val="000000"/>
                <w:sz w:val="22"/>
                <w:szCs w:val="22"/>
                <w:u w:val="none"/>
              </w:rPr>
            </w:pPr>
            <w:r>
              <w:rPr>
                <w:rFonts w:hint="eastAsia" w:ascii="仿宋" w:hAnsi="仿宋" w:eastAsia="仿宋" w:cs="仿宋"/>
                <w:i w:val="0"/>
                <w:color w:val="000000"/>
                <w:kern w:val="0"/>
                <w:sz w:val="22"/>
                <w:szCs w:val="22"/>
                <w:u w:val="none"/>
                <w:lang w:val="en-US" w:eastAsia="zh-CN" w:bidi="ar"/>
              </w:rPr>
              <w:t>IEEE ACCESS</w:t>
            </w:r>
          </w:p>
        </w:tc>
        <w:tc>
          <w:tcPr>
            <w:tcW w:w="87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2</w:t>
            </w:r>
          </w:p>
        </w:tc>
        <w:tc>
          <w:tcPr>
            <w:tcW w:w="100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3.745</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3"/>
        </w:numPr>
        <w:jc w:val="both"/>
        <w:outlineLvl w:val="1"/>
        <w:rPr>
          <w:rFonts w:hint="eastAsia" w:ascii="仿宋" w:hAnsi="仿宋" w:eastAsia="仿宋" w:cs="仿宋"/>
          <w:b/>
          <w:bCs/>
          <w:sz w:val="30"/>
          <w:szCs w:val="30"/>
          <w:lang w:val="en-US" w:eastAsia="zh-CN"/>
        </w:rPr>
      </w:pPr>
      <w:bookmarkStart w:id="35" w:name="_Toc10459"/>
      <w:bookmarkStart w:id="36" w:name="_Toc25500"/>
      <w:r>
        <w:rPr>
          <w:rFonts w:hint="eastAsia" w:ascii="仿宋" w:hAnsi="仿宋" w:eastAsia="仿宋" w:cs="仿宋"/>
          <w:b/>
          <w:bCs/>
          <w:sz w:val="30"/>
          <w:szCs w:val="30"/>
          <w:lang w:val="en-US" w:eastAsia="zh-CN"/>
        </w:rPr>
        <w:t>作者分析</w:t>
      </w:r>
      <w:bookmarkEnd w:id="35"/>
      <w:r>
        <w:rPr>
          <w:rFonts w:hint="eastAsia" w:ascii="仿宋" w:hAnsi="仿宋" w:eastAsia="仿宋" w:cs="仿宋"/>
          <w:b/>
          <w:bCs/>
          <w:sz w:val="30"/>
          <w:szCs w:val="30"/>
          <w:lang w:val="en-US" w:eastAsia="zh-CN"/>
        </w:rPr>
        <w:t>（含合作者）</w:t>
      </w:r>
      <w:bookmarkEnd w:id="36"/>
    </w:p>
    <w:p>
      <w:pPr>
        <w:widowControl w:val="0"/>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综合分析2020年第四季度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的34</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发文作者221名，其中发文两篇以上的有20人，发文三篇以上的有9人，发文最多的是</w:t>
      </w:r>
      <w:r>
        <w:rPr>
          <w:rFonts w:hint="eastAsia" w:ascii="仿宋" w:hAnsi="仿宋" w:eastAsia="仿宋" w:cs="仿宋"/>
          <w:i w:val="0"/>
          <w:color w:val="000000"/>
          <w:kern w:val="0"/>
          <w:sz w:val="24"/>
          <w:szCs w:val="24"/>
          <w:u w:val="none"/>
          <w:lang w:val="en-US" w:eastAsia="zh-CN" w:bidi="ar"/>
        </w:rPr>
        <w:t>Han, Ya-jie、Wang, Shuang、</w:t>
      </w:r>
      <w:r>
        <w:rPr>
          <w:rFonts w:hint="eastAsia" w:ascii="仿宋" w:hAnsi="仿宋" w:eastAsia="仿宋" w:cs="仿宋"/>
          <w:sz w:val="24"/>
          <w:szCs w:val="24"/>
          <w:lang w:val="en-US" w:eastAsia="zh-CN"/>
        </w:rPr>
        <w:t>Zhang, Zhi-Wei</w:t>
      </w:r>
      <w:r>
        <w:rPr>
          <w:rFonts w:hint="eastAsia" w:ascii="仿宋" w:hAnsi="仿宋" w:eastAsia="仿宋" w:cs="仿宋"/>
          <w:sz w:val="28"/>
          <w:szCs w:val="28"/>
          <w:lang w:val="en-US" w:eastAsia="zh-CN"/>
        </w:rPr>
        <w:t>，发文5篇，详见表10。</w:t>
      </w:r>
    </w:p>
    <w:p>
      <w:pPr>
        <w:widowControl w:val="0"/>
        <w:numPr>
          <w:ilvl w:val="0"/>
          <w:numId w:val="0"/>
        </w:numPr>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表10</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作者</w:t>
      </w:r>
      <w:r>
        <w:rPr>
          <w:rFonts w:hint="eastAsia" w:ascii="仿宋" w:hAnsi="仿宋" w:eastAsia="仿宋" w:cs="仿宋"/>
          <w:b/>
          <w:bCs/>
          <w:color w:val="000000"/>
          <w:kern w:val="0"/>
          <w:sz w:val="24"/>
          <w:szCs w:val="24"/>
          <w:lang w:bidi="ar"/>
        </w:rPr>
        <w:t>计表</w:t>
      </w:r>
    </w:p>
    <w:p>
      <w:pPr>
        <w:widowControl w:val="0"/>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2"/>
        <w:tblW w:w="4997" w:type="pct"/>
        <w:tblInd w:w="0" w:type="dxa"/>
        <w:shd w:val="clear" w:color="auto" w:fill="auto"/>
        <w:tblLayout w:type="autofit"/>
        <w:tblCellMar>
          <w:top w:w="0" w:type="dxa"/>
          <w:left w:w="0" w:type="dxa"/>
          <w:bottom w:w="0" w:type="dxa"/>
          <w:right w:w="0" w:type="dxa"/>
        </w:tblCellMar>
      </w:tblPr>
      <w:tblGrid>
        <w:gridCol w:w="655"/>
        <w:gridCol w:w="2305"/>
        <w:gridCol w:w="1080"/>
        <w:gridCol w:w="698"/>
        <w:gridCol w:w="2392"/>
        <w:gridCol w:w="1201"/>
      </w:tblGrid>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38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姓名</w:t>
            </w:r>
          </w:p>
        </w:tc>
        <w:tc>
          <w:tcPr>
            <w:tcW w:w="6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4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143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姓名</w:t>
            </w:r>
          </w:p>
        </w:tc>
        <w:tc>
          <w:tcPr>
            <w:tcW w:w="72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230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Han, Ya-jie</w:t>
            </w:r>
          </w:p>
        </w:tc>
        <w:tc>
          <w:tcPr>
            <w:tcW w:w="108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w:t>
            </w:r>
          </w:p>
        </w:tc>
        <w:tc>
          <w:tcPr>
            <w:tcW w:w="4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11</w:t>
            </w:r>
          </w:p>
        </w:tc>
        <w:tc>
          <w:tcPr>
            <w:tcW w:w="2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Li, Guangyu</w:t>
            </w:r>
          </w:p>
        </w:tc>
        <w:tc>
          <w:tcPr>
            <w:tcW w:w="12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2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Wang, Shuang</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12</w:t>
            </w:r>
          </w:p>
        </w:tc>
        <w:tc>
          <w:tcPr>
            <w:tcW w:w="2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Liu, Han</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w:t>
            </w:r>
          </w:p>
        </w:tc>
      </w:tr>
      <w:tr>
        <w:tblPrEx>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230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Zhang, Zhi-wei</w:t>
            </w:r>
          </w:p>
        </w:tc>
        <w:tc>
          <w:tcPr>
            <w:tcW w:w="108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w:t>
            </w:r>
          </w:p>
        </w:tc>
        <w:tc>
          <w:tcPr>
            <w:tcW w:w="4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13</w:t>
            </w:r>
          </w:p>
        </w:tc>
        <w:tc>
          <w:tcPr>
            <w:tcW w:w="2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Mao, Zhi-yong</w:t>
            </w:r>
          </w:p>
        </w:tc>
        <w:tc>
          <w:tcPr>
            <w:tcW w:w="12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2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Lu, Xu-Lin</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14</w:t>
            </w:r>
          </w:p>
        </w:tc>
        <w:tc>
          <w:tcPr>
            <w:tcW w:w="2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Niu, Shao-li</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w:t>
            </w:r>
          </w:p>
        </w:tc>
      </w:tr>
      <w:tr>
        <w:tblPrEx>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230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Mu, Zhong-fei</w:t>
            </w:r>
          </w:p>
        </w:tc>
        <w:tc>
          <w:tcPr>
            <w:tcW w:w="108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w:t>
            </w:r>
          </w:p>
        </w:tc>
        <w:tc>
          <w:tcPr>
            <w:tcW w:w="4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lang w:val="en-US"/>
              </w:rPr>
            </w:pPr>
            <w:r>
              <w:rPr>
                <w:rFonts w:hint="eastAsia" w:ascii="仿宋" w:hAnsi="仿宋" w:eastAsia="仿宋" w:cs="仿宋"/>
                <w:i w:val="0"/>
                <w:color w:val="000000"/>
                <w:kern w:val="0"/>
                <w:sz w:val="22"/>
                <w:szCs w:val="22"/>
                <w:u w:val="none"/>
                <w:lang w:val="en-US" w:eastAsia="zh-CN" w:bidi="ar"/>
              </w:rPr>
              <w:t>15</w:t>
            </w:r>
          </w:p>
        </w:tc>
        <w:tc>
          <w:tcPr>
            <w:tcW w:w="2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Qian, Aidong</w:t>
            </w:r>
          </w:p>
        </w:tc>
        <w:tc>
          <w:tcPr>
            <w:tcW w:w="12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2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Shi, Lei</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16</w:t>
            </w:r>
          </w:p>
        </w:tc>
        <w:tc>
          <w:tcPr>
            <w:tcW w:w="2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Shan, Xiaofeng</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230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Shi, Qiumei</w:t>
            </w:r>
          </w:p>
        </w:tc>
        <w:tc>
          <w:tcPr>
            <w:tcW w:w="108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4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jc w:val="center"/>
              <w:rPr>
                <w:rFonts w:hint="eastAsia"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17</w:t>
            </w:r>
          </w:p>
        </w:tc>
        <w:tc>
          <w:tcPr>
            <w:tcW w:w="2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Shen, Si-bo</w:t>
            </w:r>
          </w:p>
        </w:tc>
        <w:tc>
          <w:tcPr>
            <w:tcW w:w="12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2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Song, Ai-jun</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18</w:t>
            </w:r>
          </w:p>
        </w:tc>
        <w:tc>
          <w:tcPr>
            <w:tcW w:w="2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Wang, Pengfei</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230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Wu, Tonglei</w:t>
            </w:r>
          </w:p>
        </w:tc>
        <w:tc>
          <w:tcPr>
            <w:tcW w:w="108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41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jc w:val="center"/>
              <w:rPr>
                <w:rFonts w:hint="eastAsia"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19</w:t>
            </w:r>
          </w:p>
        </w:tc>
        <w:tc>
          <w:tcPr>
            <w:tcW w:w="23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Zhang, Haihua</w:t>
            </w:r>
          </w:p>
        </w:tc>
        <w:tc>
          <w:tcPr>
            <w:tcW w:w="12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2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Kang, YuanHuan</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20</w:t>
            </w:r>
          </w:p>
        </w:tc>
        <w:tc>
          <w:tcPr>
            <w:tcW w:w="2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Zhang, Lei</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r>
    </w:tbl>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7" w:name="_Toc16329"/>
      <w:bookmarkStart w:id="38" w:name="_Toc31626"/>
      <w:r>
        <w:rPr>
          <w:rFonts w:hint="eastAsia" w:ascii="仿宋" w:hAnsi="仿宋" w:eastAsia="仿宋" w:cs="仿宋"/>
          <w:b/>
          <w:bCs/>
          <w:sz w:val="30"/>
          <w:szCs w:val="30"/>
          <w:lang w:val="en-US" w:eastAsia="zh-CN"/>
        </w:rPr>
        <w:t>6.基金分析</w:t>
      </w:r>
      <w:bookmarkEnd w:id="37"/>
      <w:bookmarkEnd w:id="38"/>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综合分析2020年第四季度国外公开发表的34篇论文中，基金资助超过两篇文章的有10个，其中资助文献最多的基金是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pPr>
        <w:widowControl w:val="0"/>
        <w:numPr>
          <w:ilvl w:val="0"/>
          <w:numId w:val="0"/>
        </w:numPr>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2"/>
        <w:tblpPr w:leftFromText="180" w:rightFromText="180" w:vertAnchor="text" w:horzAnchor="page" w:tblpX="1782" w:tblpY="309"/>
        <w:tblOverlap w:val="never"/>
        <w:tblW w:w="4998" w:type="pct"/>
        <w:tblInd w:w="0" w:type="dxa"/>
        <w:shd w:val="clear" w:color="auto" w:fill="auto"/>
        <w:tblLayout w:type="autofit"/>
        <w:tblCellMar>
          <w:top w:w="0" w:type="dxa"/>
          <w:left w:w="0" w:type="dxa"/>
          <w:bottom w:w="0" w:type="dxa"/>
          <w:right w:w="0" w:type="dxa"/>
        </w:tblCellMar>
      </w:tblPr>
      <w:tblGrid>
        <w:gridCol w:w="650"/>
        <w:gridCol w:w="6606"/>
        <w:gridCol w:w="1077"/>
      </w:tblGrid>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96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基金名称</w:t>
            </w:r>
          </w:p>
        </w:tc>
        <w:tc>
          <w:tcPr>
            <w:tcW w:w="64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660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National Natural Science Foundation of China (NSFC)</w:t>
            </w:r>
          </w:p>
        </w:tc>
        <w:tc>
          <w:tcPr>
            <w:tcW w:w="10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18</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6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Natural Science Foundation of Hebei Province</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660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National Key R&amp;D Program of China</w:t>
            </w:r>
          </w:p>
        </w:tc>
        <w:tc>
          <w:tcPr>
            <w:tcW w:w="10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6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Talent training project in Hebei</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3</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660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Doctoral Startup Foundation of Hebei Normal University of Science and Technology</w:t>
            </w:r>
          </w:p>
        </w:tc>
        <w:tc>
          <w:tcPr>
            <w:tcW w:w="10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6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Fundamental Research Funds for the Central Universities</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660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Hebei Master's Innovation Subsidy Project in 2020</w:t>
            </w:r>
          </w:p>
        </w:tc>
        <w:tc>
          <w:tcPr>
            <w:tcW w:w="10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6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National Key Research and Development Program of China</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660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Talent Training Project in Hebei Province</w:t>
            </w:r>
          </w:p>
        </w:tc>
        <w:tc>
          <w:tcPr>
            <w:tcW w:w="10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66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Top Talent Project for Youths of Hebei Province</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r>
    </w:tbl>
    <w:p>
      <w:pPr>
        <w:spacing w:line="480" w:lineRule="auto"/>
        <w:jc w:val="center"/>
        <w:rPr>
          <w:rFonts w:hint="eastAsia"/>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39" w:name="_Toc28712"/>
      <w:bookmarkStart w:id="40" w:name="_Toc6044"/>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7.被引分析</w:t>
      </w:r>
      <w:bookmarkEnd w:id="39"/>
      <w:bookmarkEnd w:id="40"/>
    </w:p>
    <w:p>
      <w:pPr>
        <w:numPr>
          <w:ilvl w:val="0"/>
          <w:numId w:val="0"/>
        </w:numPr>
        <w:ind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综合分析2020年第四季度国外公开发表的34篇论文中，被引用文献有4篇，其中被引次数最多的文章是</w:t>
      </w:r>
      <w:r>
        <w:rPr>
          <w:rFonts w:hint="eastAsia" w:ascii="仿宋" w:hAnsi="仿宋" w:eastAsia="仿宋" w:cs="仿宋"/>
          <w:i w:val="0"/>
          <w:color w:val="000000"/>
          <w:kern w:val="0"/>
          <w:sz w:val="24"/>
          <w:szCs w:val="24"/>
          <w:u w:val="none"/>
          <w:lang w:val="en-US" w:eastAsia="zh-CN" w:bidi="ar"/>
        </w:rPr>
        <w:t>A human neutralizing antibody targets the receptor-binding site of SARS-CoV-2</w:t>
      </w:r>
      <w:r>
        <w:rPr>
          <w:rFonts w:hint="eastAsia" w:ascii="仿宋" w:hAnsi="仿宋" w:eastAsia="仿宋" w:cs="仿宋"/>
          <w:b w:val="0"/>
          <w:bCs w:val="0"/>
          <w:sz w:val="28"/>
          <w:szCs w:val="28"/>
          <w:lang w:val="en-US" w:eastAsia="zh-CN"/>
        </w:rPr>
        <w:t>，具体分布见表12。</w:t>
      </w:r>
    </w:p>
    <w:p>
      <w:pPr>
        <w:numPr>
          <w:ilvl w:val="0"/>
          <w:numId w:val="0"/>
        </w:numPr>
        <w:jc w:val="left"/>
        <w:rPr>
          <w:rFonts w:hint="eastAsia" w:ascii="仿宋" w:hAnsi="仿宋" w:eastAsia="仿宋" w:cs="仿宋"/>
          <w:b w:val="0"/>
          <w:bCs w:val="0"/>
          <w:sz w:val="28"/>
          <w:szCs w:val="28"/>
          <w:lang w:val="en-US" w:eastAsia="zh-CN"/>
        </w:rPr>
      </w:pPr>
    </w:p>
    <w:p>
      <w:pPr>
        <w:numPr>
          <w:ilvl w:val="0"/>
          <w:numId w:val="0"/>
        </w:numPr>
        <w:ind w:firstLine="964" w:firstLineChars="400"/>
        <w:jc w:val="left"/>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2020年第四季度国外发文被引频次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bidi="ar"/>
        </w:rPr>
      </w:pPr>
    </w:p>
    <w:tbl>
      <w:tblPr>
        <w:tblStyle w:val="2"/>
        <w:tblW w:w="8336" w:type="dxa"/>
        <w:tblInd w:w="0" w:type="dxa"/>
        <w:shd w:val="clear" w:color="auto" w:fill="auto"/>
        <w:tblLayout w:type="fixed"/>
        <w:tblCellMar>
          <w:top w:w="0" w:type="dxa"/>
          <w:left w:w="0" w:type="dxa"/>
          <w:bottom w:w="0" w:type="dxa"/>
          <w:right w:w="0" w:type="dxa"/>
        </w:tblCellMar>
      </w:tblPr>
      <w:tblGrid>
        <w:gridCol w:w="276"/>
        <w:gridCol w:w="3015"/>
        <w:gridCol w:w="900"/>
        <w:gridCol w:w="3810"/>
        <w:gridCol w:w="335"/>
      </w:tblGrid>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1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90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81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shd w:val="clear" w:color="auto" w:fill="auto"/>
          <w:tblCellMar>
            <w:top w:w="0" w:type="dxa"/>
            <w:left w:w="0" w:type="dxa"/>
            <w:bottom w:w="0" w:type="dxa"/>
            <w:right w:w="0" w:type="dxa"/>
          </w:tblCellMar>
        </w:tblPrEx>
        <w:trPr>
          <w:trHeight w:val="499"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Systematic studies on Ca19M2(PO4)(14):Eu3+ (M = Mg, Zn) phosphors: Effects of M cation on photoluminescence</w:t>
            </w:r>
          </w:p>
        </w:tc>
        <w:tc>
          <w:tcPr>
            <w:tcW w:w="90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5-Dec</w:t>
            </w:r>
          </w:p>
        </w:tc>
        <w:tc>
          <w:tcPr>
            <w:tcW w:w="38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Han, Ya-jie; Wang, Shuang; Liu, Han; Shi, Lei; Song, Ai-jun; Lu, Xu-lin; Wei, Ji-yang; Mao, Zhi-yong; Wang, Da-jian; Mu, Zhong-fei; Zhang, Zhi-wei; Niu, Shao-li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Multi-channel exciton dissociation in D18/Y6 complexes for high-efficiency organic photovoltaics</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21-Oct</w:t>
            </w:r>
          </w:p>
        </w:tc>
        <w:tc>
          <w:tcPr>
            <w:tcW w:w="381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Cao, Zhixing; Yang, Shu; Wang, Bo; Shen, Xingxing; Han, Guangchao; Yi, Yuanping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Magnetic nanoparticles coated with polyphenols for spatio-temporally controlled cancer photothermal/immunotherapy</w:t>
            </w:r>
          </w:p>
        </w:tc>
        <w:tc>
          <w:tcPr>
            <w:tcW w:w="90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10-Oct</w:t>
            </w:r>
          </w:p>
        </w:tc>
        <w:tc>
          <w:tcPr>
            <w:tcW w:w="38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Zhang, Fan; Lu, Guihong; Wen, Xiaolei; Li, Feng; Ji, Xiaoyuan; Li, Qianqian; Wu, Meiying; Cheng, Qinzhen; Yu, Yongkang; Tang, Jing; Mei, Lin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A novel tetranuclear Gd(III)-based cluster showing larger magnetic refrigeration property</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15-Dec</w:t>
            </w:r>
          </w:p>
        </w:tc>
        <w:tc>
          <w:tcPr>
            <w:tcW w:w="381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Li, Li; Yang, Li-Rong; Qiao, Na; Xue, Miao-Miao; Fang, Zhi-Xuan; Ren, Jing; Wang, Hai-Tang; Fang, Ming; Wang, Wen-Min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Gold/Silver Hybrid Nanoparticles with Enduring Inhibition of Coronavirus Multiplication through Multisite Mechanisms</w:t>
            </w:r>
          </w:p>
        </w:tc>
        <w:tc>
          <w:tcPr>
            <w:tcW w:w="90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18-Nov</w:t>
            </w:r>
          </w:p>
        </w:tc>
        <w:tc>
          <w:tcPr>
            <w:tcW w:w="38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Du, Ting; Zhang, Jinyu; Li, Chunqiao; Song, Tao; Li, Ping; Liu, Jifeng; Du, Xinjun; Wang, Shuo</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BiOBr@SBA-15 system as a novel photocatalyst with high photocatalytic</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1-Nov</w:t>
            </w:r>
          </w:p>
        </w:tc>
        <w:tc>
          <w:tcPr>
            <w:tcW w:w="381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Han, Ya-jie; Wang, Shuang; Liu, Han; Shi, Lei; Song, Jia-yu; Huang, Yi-hao; Ji, Zhi-xin; Lu, Xu-Lin; Shen, Si-bo; Zhang, Zhi-wei; Song, Ai-jun</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A dual-emission Ca9MgLi(PO4)(7): Ce3+, Mn2+ phosphor with energy transfer for plant-lighting</w:t>
            </w:r>
          </w:p>
        </w:tc>
        <w:tc>
          <w:tcPr>
            <w:tcW w:w="90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OCT</w:t>
            </w:r>
          </w:p>
        </w:tc>
        <w:tc>
          <w:tcPr>
            <w:tcW w:w="38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Wang, Shuang; Han, Ya-jie; Lu, Xu-Lin; Guo, Ya-nan; Wang, Ze-yu; Zhang, Bo; Mu, Zhong-fei; Shen, Si-bo; Zhang, Zhi-wei; Song, Ai-jun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Dynamic QTL mapping for plant height in the hybrid population ofAgropyronGaertn.</w:t>
            </w:r>
          </w:p>
        </w:tc>
        <w:tc>
          <w:tcPr>
            <w:tcW w:w="90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OCT</w:t>
            </w:r>
          </w:p>
        </w:tc>
        <w:tc>
          <w:tcPr>
            <w:tcW w:w="381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Che, Yonghe; Song, Nan; Yang, Yanping; Yang, Xinming; Zhang, Yan; Zhang, Jinpeng; Han, Haiming; Li, Xiuquan; Zhou, Shenghui; Li, Lihui; Liu, Weihua</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Cadaverine reverse transporter (CadB protein) contributes to the virulence of Aeromonas veronii TH0426</w:t>
            </w:r>
          </w:p>
        </w:tc>
        <w:tc>
          <w:tcPr>
            <w:tcW w:w="90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NOV</w:t>
            </w:r>
          </w:p>
        </w:tc>
        <w:tc>
          <w:tcPr>
            <w:tcW w:w="38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Tao, LuoTao; Kang, YuanHuan; Zhang, Lei; Shi, Qiumei; Li, Ying; Wu, Tonglei; Qian, Aidong; Sun, WuWen; Shan, Xiaofeng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r>
    </w:tbl>
    <w:p>
      <w:pPr>
        <w:spacing w:line="480" w:lineRule="auto"/>
        <w:jc w:val="center"/>
        <w:rPr>
          <w:rFonts w:hint="eastAsia"/>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281E1A1B"/>
    <w:multiLevelType w:val="singleLevel"/>
    <w:tmpl w:val="281E1A1B"/>
    <w:lvl w:ilvl="0" w:tentative="0">
      <w:start w:val="1"/>
      <w:numFmt w:val="decimal"/>
      <w:lvlText w:val="%1."/>
      <w:lvlJc w:val="left"/>
      <w:pPr>
        <w:tabs>
          <w:tab w:val="left" w:pos="312"/>
        </w:tabs>
      </w:pPr>
    </w:lvl>
  </w:abstractNum>
  <w:abstractNum w:abstractNumId="2">
    <w:nsid w:val="7AC33C8C"/>
    <w:multiLevelType w:val="singleLevel"/>
    <w:tmpl w:val="7AC33C8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21C5F9F"/>
    <w:rsid w:val="02F868C8"/>
    <w:rsid w:val="038A7F2F"/>
    <w:rsid w:val="087C5B35"/>
    <w:rsid w:val="13136B57"/>
    <w:rsid w:val="139416D0"/>
    <w:rsid w:val="13987AF7"/>
    <w:rsid w:val="144964D4"/>
    <w:rsid w:val="157F3E5B"/>
    <w:rsid w:val="189561A4"/>
    <w:rsid w:val="1A372FAB"/>
    <w:rsid w:val="1A5873E9"/>
    <w:rsid w:val="1C0520C8"/>
    <w:rsid w:val="1C65043A"/>
    <w:rsid w:val="1D9751D2"/>
    <w:rsid w:val="23A743D7"/>
    <w:rsid w:val="23D63EB9"/>
    <w:rsid w:val="26492636"/>
    <w:rsid w:val="28B05E51"/>
    <w:rsid w:val="298E7BCC"/>
    <w:rsid w:val="299D4AAE"/>
    <w:rsid w:val="2A1E1EF9"/>
    <w:rsid w:val="2C3D740F"/>
    <w:rsid w:val="300D612B"/>
    <w:rsid w:val="33EC74B8"/>
    <w:rsid w:val="35294481"/>
    <w:rsid w:val="38D14B6E"/>
    <w:rsid w:val="3C0F5F44"/>
    <w:rsid w:val="3C8E6E90"/>
    <w:rsid w:val="3C8E78EF"/>
    <w:rsid w:val="3D203C2F"/>
    <w:rsid w:val="3E2264D4"/>
    <w:rsid w:val="426F2679"/>
    <w:rsid w:val="44BB4992"/>
    <w:rsid w:val="44F84B54"/>
    <w:rsid w:val="4B545E24"/>
    <w:rsid w:val="4FF16129"/>
    <w:rsid w:val="5022272A"/>
    <w:rsid w:val="532C6A4B"/>
    <w:rsid w:val="55D213BB"/>
    <w:rsid w:val="58FB4CED"/>
    <w:rsid w:val="5AD016BC"/>
    <w:rsid w:val="5B8861B6"/>
    <w:rsid w:val="5D7F24A9"/>
    <w:rsid w:val="5E49292E"/>
    <w:rsid w:val="66BA47AA"/>
    <w:rsid w:val="67551F07"/>
    <w:rsid w:val="67FF3E86"/>
    <w:rsid w:val="691213E4"/>
    <w:rsid w:val="6CC469C3"/>
    <w:rsid w:val="6D8F49FE"/>
    <w:rsid w:val="6E8647B0"/>
    <w:rsid w:val="6FBF5509"/>
    <w:rsid w:val="703C172C"/>
    <w:rsid w:val="71DD4ABF"/>
    <w:rsid w:val="72C83180"/>
    <w:rsid w:val="74FC42B5"/>
    <w:rsid w:val="770F010E"/>
    <w:rsid w:val="7880689B"/>
    <w:rsid w:val="7C6932BF"/>
    <w:rsid w:val="7DDF3BA1"/>
    <w:rsid w:val="7DFC2D81"/>
    <w:rsid w:val="7E264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font01"/>
    <w:basedOn w:val="3"/>
    <w:qFormat/>
    <w:uiPriority w:val="0"/>
    <w:rPr>
      <w:rFonts w:ascii="Arial" w:hAnsi="Arial" w:cs="Arial"/>
      <w:b/>
      <w:color w:val="808080"/>
      <w:sz w:val="21"/>
      <w:szCs w:val="21"/>
      <w:u w:val="none"/>
    </w:rPr>
  </w:style>
  <w:style w:type="paragraph" w:customStyle="1" w:styleId="5">
    <w:name w:val="WPSOffice手动目录 1"/>
    <w:qFormat/>
    <w:uiPriority w:val="0"/>
    <w:pPr>
      <w:ind w:leftChars="0"/>
    </w:pPr>
    <w:rPr>
      <w:rFonts w:ascii="Times New Roman" w:hAnsi="Times New Roman" w:eastAsia="宋体" w:cs="Times New Roman"/>
      <w:sz w:val="20"/>
      <w:szCs w:val="20"/>
    </w:rPr>
  </w:style>
  <w:style w:type="paragraph" w:customStyle="1" w:styleId="6">
    <w:name w:val="WPSOffice手动目录 2"/>
    <w:qFormat/>
    <w:uiPriority w:val="0"/>
    <w:pPr>
      <w:ind w:leftChars="200"/>
    </w:pPr>
    <w:rPr>
      <w:rFonts w:ascii="Times New Roman" w:hAnsi="Times New Roman" w:eastAsia="宋体" w:cs="Times New Roman"/>
      <w:sz w:val="20"/>
      <w:szCs w:val="20"/>
    </w:rPr>
  </w:style>
  <w:style w:type="paragraph" w:styleId="7">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4.&#23398;&#31185;&#20998;&#26512;&#25253;&#21578;\2020&#31532;&#22235;&#23395;&#24230;&#21457;&#25991;&#24773;&#20917;&#32479;&#35745;\CNKI-&#31532;&#22235;&#23395;&#24230;&#21457;&#25991;&#24635;&#37327;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4.&#23398;&#31185;&#20998;&#26512;&#25253;&#21578;\2020&#31532;&#22235;&#23395;&#24230;&#21457;&#25991;&#24773;&#20917;&#32479;&#35745;\CNKI-&#31532;&#22235;&#23395;&#24230;&#21457;&#25991;&#24635;&#37327;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H:\4.&#23398;&#31185;&#20998;&#26512;&#25253;&#21578;\2020&#31532;&#22235;&#23395;&#24230;&#21457;&#25991;&#24773;&#20917;&#32479;&#35745;\CNKI-&#31532;&#22235;&#23395;&#24230;&#21457;&#25991;&#24635;&#37327;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H:\4.&#23398;&#31185;&#20998;&#26512;&#25253;&#21578;\2020&#31532;&#22235;&#23395;&#24230;&#21457;&#25991;&#24773;&#20917;&#32479;&#35745;\CNKI-&#31532;&#22235;&#23395;&#24230;&#21457;&#25991;&#24635;&#3732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'[CNKI-第四季度发文总量1.xlsx]2.主题分析'!$B$9</c:f>
              <c:strCache>
                <c:ptCount val="1"/>
                <c:pt idx="0">
                  <c:v>频次</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Pt>
            <c:idx val="32"/>
            <c:bubble3D val="0"/>
            <c:spPr>
              <a:solidFill>
                <a:schemeClr val="accent3">
                  <a:lumMod val="50000"/>
                </a:schemeClr>
              </a:solidFill>
              <a:ln w="19050">
                <a:solidFill>
                  <a:schemeClr val="lt1"/>
                </a:solidFill>
              </a:ln>
              <a:effectLst/>
            </c:spPr>
          </c:dPt>
          <c:dPt>
            <c:idx val="33"/>
            <c:bubble3D val="0"/>
            <c:spPr>
              <a:solidFill>
                <a:schemeClr val="accent4">
                  <a:lumMod val="50000"/>
                </a:schemeClr>
              </a:solidFill>
              <a:ln w="19050">
                <a:solidFill>
                  <a:schemeClr val="lt1"/>
                </a:solidFill>
              </a:ln>
              <a:effectLst/>
            </c:spPr>
          </c:dPt>
          <c:dPt>
            <c:idx val="34"/>
            <c:bubble3D val="0"/>
            <c:spPr>
              <a:solidFill>
                <a:schemeClr val="accent5">
                  <a:lumMod val="50000"/>
                </a:schemeClr>
              </a:solidFill>
              <a:ln w="19050">
                <a:solidFill>
                  <a:schemeClr val="lt1"/>
                </a:solidFill>
              </a:ln>
              <a:effectLst/>
            </c:spPr>
          </c:dPt>
          <c:dPt>
            <c:idx val="35"/>
            <c:bubble3D val="0"/>
            <c:spPr>
              <a:solidFill>
                <a:schemeClr val="accent6">
                  <a:lumMod val="50000"/>
                </a:schemeClr>
              </a:solidFill>
              <a:ln w="19050">
                <a:solidFill>
                  <a:schemeClr val="lt1"/>
                </a:solidFill>
              </a:ln>
              <a:effectLst/>
            </c:spPr>
          </c:dPt>
          <c:dPt>
            <c:idx val="36"/>
            <c:bubble3D val="0"/>
            <c:spPr>
              <a:solidFill>
                <a:schemeClr val="accent1">
                  <a:lumMod val="70000"/>
                  <a:lumOff val="3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'[CNKI-第四季度发文总量1.xlsx]2.主题分析'!$A$10:$A$46</c:f>
              <c:strCache>
                <c:ptCount val="37"/>
                <c:pt idx="0">
                  <c:v>秦皇岛</c:v>
                </c:pt>
                <c:pt idx="1">
                  <c:v>动物医学</c:v>
                </c:pt>
                <c:pt idx="2">
                  <c:v>分离鉴定</c:v>
                </c:pt>
                <c:pt idx="3">
                  <c:v>迟缓爱德华菌</c:v>
                </c:pt>
                <c:pt idx="4">
                  <c:v>旅游业</c:v>
                </c:pt>
                <c:pt idx="5">
                  <c:v>大肠杆菌</c:v>
                </c:pt>
                <c:pt idx="6">
                  <c:v>貉</c:v>
                </c:pt>
                <c:pt idx="7">
                  <c:v>专业课程</c:v>
                </c:pt>
                <c:pt idx="8">
                  <c:v>旅游发展战略</c:v>
                </c:pt>
                <c:pt idx="9">
                  <c:v>耐药性</c:v>
                </c:pt>
                <c:pt idx="10">
                  <c:v>多属性群决策</c:v>
                </c:pt>
                <c:pt idx="11">
                  <c:v>校企合作</c:v>
                </c:pt>
                <c:pt idx="12">
                  <c:v>球孢白僵菌</c:v>
                </c:pt>
                <c:pt idx="13">
                  <c:v>山楂果胶</c:v>
                </c:pt>
                <c:pt idx="14">
                  <c:v>代理合同</c:v>
                </c:pt>
                <c:pt idx="15">
                  <c:v>地沟油</c:v>
                </c:pt>
                <c:pt idx="16">
                  <c:v>分布时滞</c:v>
                </c:pt>
                <c:pt idx="17">
                  <c:v>Docker</c:v>
                </c:pt>
                <c:pt idx="18">
                  <c:v>长白猪</c:v>
                </c:pt>
                <c:pt idx="19">
                  <c:v>棕榈仁粕</c:v>
                </c:pt>
                <c:pt idx="20">
                  <c:v>香气成分</c:v>
                </c:pt>
                <c:pt idx="21">
                  <c:v>教师教学质量评价</c:v>
                </c:pt>
                <c:pt idx="22">
                  <c:v>承德市</c:v>
                </c:pt>
                <c:pt idx="23">
                  <c:v>数据库</c:v>
                </c:pt>
                <c:pt idx="24">
                  <c:v>线上教学</c:v>
                </c:pt>
                <c:pt idx="25">
                  <c:v>体育产业政策</c:v>
                </c:pt>
                <c:pt idx="26">
                  <c:v>桃品种</c:v>
                </c:pt>
                <c:pt idx="27">
                  <c:v>教学诊改</c:v>
                </c:pt>
                <c:pt idx="28">
                  <c:v>促生作用</c:v>
                </c:pt>
                <c:pt idx="29">
                  <c:v>损失制分组排队</c:v>
                </c:pt>
                <c:pt idx="30">
                  <c:v>都市农业景观</c:v>
                </c:pt>
                <c:pt idx="31">
                  <c:v>桃品种</c:v>
                </c:pt>
                <c:pt idx="32">
                  <c:v>茶产业</c:v>
                </c:pt>
                <c:pt idx="33">
                  <c:v>无土栽培</c:v>
                </c:pt>
                <c:pt idx="34">
                  <c:v>思想建设</c:v>
                </c:pt>
                <c:pt idx="35">
                  <c:v>林徽因</c:v>
                </c:pt>
                <c:pt idx="36">
                  <c:v>骨代谢紊乱</c:v>
                </c:pt>
              </c:strCache>
            </c:strRef>
          </c:cat>
          <c:val>
            <c:numRef>
              <c:f>'[CNKI-第四季度发文总量1.xlsx]2.主题分析'!$B$10:$B$46</c:f>
              <c:numCache>
                <c:formatCode>General</c:formatCode>
                <c:ptCount val="37"/>
                <c:pt idx="0">
                  <c:v>3</c:v>
                </c:pt>
                <c:pt idx="1">
                  <c:v>2</c:v>
                </c:pt>
                <c:pt idx="2">
                  <c:v>2</c:v>
                </c:pt>
                <c:pt idx="3">
                  <c:v>2</c:v>
                </c:pt>
                <c:pt idx="4">
                  <c:v>2</c:v>
                </c:pt>
                <c:pt idx="5">
                  <c:v>2</c:v>
                </c:pt>
                <c:pt idx="6">
                  <c:v>2</c:v>
                </c:pt>
                <c:pt idx="7">
                  <c:v>2</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'[CNKI-第四季度发文总量1.xlsx]2.主题分析'!$E$9</c:f>
              <c:strCache>
                <c:ptCount val="1"/>
                <c:pt idx="0">
                  <c:v>频次</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Pt>
            <c:idx val="31"/>
            <c:bubble3D val="0"/>
            <c:spPr>
              <a:solidFill>
                <a:schemeClr val="accent2">
                  <a:lumMod val="50000"/>
                </a:schemeClr>
              </a:solidFill>
              <a:ln w="19050">
                <a:solidFill>
                  <a:schemeClr val="lt1"/>
                </a:solidFill>
              </a:ln>
              <a:effectLst/>
            </c:spPr>
          </c:dPt>
          <c:dPt>
            <c:idx val="32"/>
            <c:bubble3D val="0"/>
            <c:spPr>
              <a:solidFill>
                <a:schemeClr val="accent3">
                  <a:lumMod val="50000"/>
                </a:schemeClr>
              </a:solidFill>
              <a:ln w="19050">
                <a:solidFill>
                  <a:schemeClr val="lt1"/>
                </a:solidFill>
              </a:ln>
              <a:effectLst/>
            </c:spPr>
          </c:dPt>
          <c:dPt>
            <c:idx val="33"/>
            <c:bubble3D val="0"/>
            <c:spPr>
              <a:solidFill>
                <a:schemeClr val="accent4">
                  <a:lumMod val="50000"/>
                </a:schemeClr>
              </a:solidFill>
              <a:ln w="19050">
                <a:solidFill>
                  <a:schemeClr val="lt1"/>
                </a:solidFill>
              </a:ln>
              <a:effectLst/>
            </c:spPr>
          </c:dPt>
          <c:dPt>
            <c:idx val="34"/>
            <c:bubble3D val="0"/>
            <c:spPr>
              <a:solidFill>
                <a:schemeClr val="accent5">
                  <a:lumMod val="50000"/>
                </a:schemeClr>
              </a:solidFill>
              <a:ln w="19050">
                <a:solidFill>
                  <a:schemeClr val="lt1"/>
                </a:solidFill>
              </a:ln>
              <a:effectLst/>
            </c:spPr>
          </c:dPt>
          <c:dPt>
            <c:idx val="35"/>
            <c:bubble3D val="0"/>
            <c:spPr>
              <a:solidFill>
                <a:schemeClr val="accent6">
                  <a:lumMod val="50000"/>
                </a:schemeClr>
              </a:solidFill>
              <a:ln w="19050">
                <a:solidFill>
                  <a:schemeClr val="lt1"/>
                </a:solidFill>
              </a:ln>
              <a:effectLst/>
            </c:spPr>
          </c:dPt>
          <c:dPt>
            <c:idx val="36"/>
            <c:bubble3D val="0"/>
            <c:spPr>
              <a:solidFill>
                <a:schemeClr val="accent1">
                  <a:lumMod val="70000"/>
                  <a:lumOff val="30000"/>
                </a:schemeClr>
              </a:solidFill>
              <a:ln w="19050">
                <a:solidFill>
                  <a:schemeClr val="lt1"/>
                </a:solidFill>
              </a:ln>
              <a:effectLst/>
            </c:spPr>
          </c:dPt>
          <c:dPt>
            <c:idx val="37"/>
            <c:bubble3D val="0"/>
            <c:spPr>
              <a:solidFill>
                <a:schemeClr val="accent2">
                  <a:lumMod val="70000"/>
                  <a:lumOff val="3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'[CNKI-第四季度发文总量1.xlsx]2.主题分析'!$D$10:$D$47</c:f>
              <c:strCache>
                <c:ptCount val="38"/>
                <c:pt idx="0">
                  <c:v>重组蛋白</c:v>
                </c:pt>
                <c:pt idx="1">
                  <c:v>毒力基因</c:v>
                </c:pt>
                <c:pt idx="2">
                  <c:v>致病性</c:v>
                </c:pt>
                <c:pt idx="3">
                  <c:v>斑马鱼</c:v>
                </c:pt>
                <c:pt idx="4">
                  <c:v>药敏试验</c:v>
                </c:pt>
                <c:pt idx="5">
                  <c:v>思政工作</c:v>
                </c:pt>
                <c:pt idx="6">
                  <c:v>免疫保护力</c:v>
                </c:pt>
                <c:pt idx="7">
                  <c:v>河北省秦皇岛市</c:v>
                </c:pt>
                <c:pt idx="8">
                  <c:v>公路运输</c:v>
                </c:pt>
                <c:pt idx="9">
                  <c:v>施氮量</c:v>
                </c:pt>
                <c:pt idx="10">
                  <c:v>均方根误差</c:v>
                </c:pt>
                <c:pt idx="11">
                  <c:v>转录因子</c:v>
                </c:pt>
                <c:pt idx="12">
                  <c:v>机器人教育</c:v>
                </c:pt>
                <c:pt idx="13">
                  <c:v>课程思政</c:v>
                </c:pt>
                <c:pt idx="14">
                  <c:v>水肥一体化技术</c:v>
                </c:pt>
                <c:pt idx="15">
                  <c:v>体育产业发展</c:v>
                </c:pt>
                <c:pt idx="16">
                  <c:v>气相色谱质谱法</c:v>
                </c:pt>
                <c:pt idx="17">
                  <c:v>实时监测</c:v>
                </c:pt>
                <c:pt idx="18">
                  <c:v>中西园林</c:v>
                </c:pt>
                <c:pt idx="19">
                  <c:v>大肠杆菌</c:v>
                </c:pt>
                <c:pt idx="20">
                  <c:v>星边染色</c:v>
                </c:pt>
                <c:pt idx="21">
                  <c:v>病原菌</c:v>
                </c:pt>
                <c:pt idx="22">
                  <c:v>平均逗留时间</c:v>
                </c:pt>
                <c:pt idx="23">
                  <c:v>蛇床子</c:v>
                </c:pt>
                <c:pt idx="24">
                  <c:v>版本控制工具</c:v>
                </c:pt>
                <c:pt idx="25">
                  <c:v>细胞色素p450单加氧酶</c:v>
                </c:pt>
                <c:pt idx="26">
                  <c:v>自由与公平</c:v>
                </c:pt>
                <c:pt idx="27">
                  <c:v>拟南芥</c:v>
                </c:pt>
                <c:pt idx="28">
                  <c:v>非同义突变</c:v>
                </c:pt>
                <c:pt idx="29">
                  <c:v>职业教育质量</c:v>
                </c:pt>
                <c:pt idx="30">
                  <c:v>学生满意度</c:v>
                </c:pt>
                <c:pt idx="31">
                  <c:v>热风干燥</c:v>
                </c:pt>
                <c:pt idx="32">
                  <c:v>首要污染物</c:v>
                </c:pt>
                <c:pt idx="33">
                  <c:v>乡村经济</c:v>
                </c:pt>
                <c:pt idx="34">
                  <c:v>文化价值</c:v>
                </c:pt>
                <c:pt idx="35">
                  <c:v>鸡冠花</c:v>
                </c:pt>
                <c:pt idx="36">
                  <c:v>硫酸处理</c:v>
                </c:pt>
                <c:pt idx="37">
                  <c:v>教学改革</c:v>
                </c:pt>
              </c:strCache>
            </c:strRef>
          </c:cat>
          <c:val>
            <c:numRef>
              <c:f>'[CNKI-第四季度发文总量1.xlsx]2.主题分析'!$E$10:$E$47</c:f>
              <c:numCache>
                <c:formatCode>General</c:formatCode>
                <c:ptCount val="38"/>
                <c:pt idx="0">
                  <c:v>3</c:v>
                </c:pt>
                <c:pt idx="1">
                  <c:v>3</c:v>
                </c:pt>
                <c:pt idx="2">
                  <c:v>2</c:v>
                </c:pt>
                <c:pt idx="3">
                  <c:v>2</c:v>
                </c:pt>
                <c:pt idx="4">
                  <c:v>2</c:v>
                </c:pt>
                <c:pt idx="5">
                  <c:v>2</c:v>
                </c:pt>
                <c:pt idx="6">
                  <c:v>2</c:v>
                </c:pt>
                <c:pt idx="7">
                  <c:v>2</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'[CNKI-第四季度发文总量1.xlsx]5.作者分析'!$C$1:$C$11</c:f>
              <c:strCache>
                <c:ptCount val="11"/>
                <c:pt idx="0">
                  <c:v>张志强</c:v>
                </c:pt>
                <c:pt idx="1">
                  <c:v>史秋梅</c:v>
                </c:pt>
                <c:pt idx="2">
                  <c:v>吴同垒</c:v>
                </c:pt>
                <c:pt idx="3">
                  <c:v>杜万年</c:v>
                </c:pt>
                <c:pt idx="4">
                  <c:v>刘玉艳</c:v>
                </c:pt>
                <c:pt idx="5">
                  <c:v>汪洋</c:v>
                </c:pt>
                <c:pt idx="6">
                  <c:v>王苗</c:v>
                </c:pt>
                <c:pt idx="7">
                  <c:v>刘勃兴</c:v>
                </c:pt>
                <c:pt idx="8">
                  <c:v>吕金凤</c:v>
                </c:pt>
                <c:pt idx="9">
                  <c:v>徐宁伟</c:v>
                </c:pt>
                <c:pt idx="10">
                  <c:v>张立彬</c:v>
                </c:pt>
              </c:strCache>
            </c:strRef>
          </c:cat>
          <c:val>
            <c:numRef>
              <c:f>'[CNKI-第四季度发文总量1.xlsx]5.作者分析'!$D$1:$D$11</c:f>
              <c:numCache>
                <c:formatCode>General</c:formatCode>
                <c:ptCount val="11"/>
                <c:pt idx="0">
                  <c:v>7</c:v>
                </c:pt>
                <c:pt idx="1">
                  <c:v>5</c:v>
                </c:pt>
                <c:pt idx="2">
                  <c:v>5</c:v>
                </c:pt>
                <c:pt idx="3">
                  <c:v>4</c:v>
                </c:pt>
                <c:pt idx="4">
                  <c:v>4</c:v>
                </c:pt>
                <c:pt idx="5">
                  <c:v>4</c:v>
                </c:pt>
                <c:pt idx="6">
                  <c:v>4</c:v>
                </c:pt>
                <c:pt idx="7">
                  <c:v>3</c:v>
                </c:pt>
                <c:pt idx="8">
                  <c:v>3</c:v>
                </c:pt>
                <c:pt idx="9">
                  <c:v>3</c:v>
                </c:pt>
                <c:pt idx="10">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'[CNKI-第四季度发文总量1.xlsx]6.合作单位分析'!$A$33:$A$38</c:f>
              <c:strCache>
                <c:ptCount val="6"/>
                <c:pt idx="0">
                  <c:v>河北省预防兽医学重点实验室</c:v>
                </c:pt>
                <c:pt idx="1">
                  <c:v>和信基业投资控股有限公司</c:v>
                </c:pt>
                <c:pt idx="2">
                  <c:v>河北大学教育学院</c:v>
                </c:pt>
                <c:pt idx="3">
                  <c:v>河北省特色园艺种质挖掘与创新利用重点实验室</c:v>
                </c:pt>
                <c:pt idx="4">
                  <c:v>河北省职业教育研究基地</c:v>
                </c:pt>
                <c:pt idx="5">
                  <c:v>河北省作物逆境生物学重点实验室</c:v>
                </c:pt>
              </c:strCache>
            </c:strRef>
          </c:cat>
          <c:val>
            <c:numRef>
              <c:f>'[CNKI-第四季度发文总量1.xlsx]6.合作单位分析'!$B$33:$B$38</c:f>
              <c:numCache>
                <c:formatCode>General</c:formatCode>
                <c:ptCount val="6"/>
                <c:pt idx="0">
                  <c:v>3</c:v>
                </c:pt>
                <c:pt idx="1">
                  <c:v>2</c:v>
                </c:pt>
                <c:pt idx="2">
                  <c:v>2</c:v>
                </c:pt>
                <c:pt idx="3">
                  <c:v>2</c:v>
                </c:pt>
                <c:pt idx="4">
                  <c:v>2</c:v>
                </c:pt>
                <c:pt idx="5">
                  <c:v>2</c:v>
                </c:pt>
              </c:numCache>
            </c:numRef>
          </c:val>
        </c:ser>
        <c:dLbls>
          <c:showLegendKey val="0"/>
          <c:showVal val="1"/>
          <c:showCatName val="0"/>
          <c:showSerName val="0"/>
          <c:showPercent val="0"/>
          <c:showBubbleSize val="0"/>
        </c:dLbls>
        <c:gapWidth val="219"/>
        <c:overlap val="-27"/>
        <c:axId val="446250916"/>
        <c:axId val="595926078"/>
      </c:barChart>
      <c:catAx>
        <c:axId val="4462509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5926078"/>
        <c:crosses val="autoZero"/>
        <c:auto val="1"/>
        <c:lblAlgn val="ctr"/>
        <c:lblOffset val="100"/>
        <c:noMultiLvlLbl val="0"/>
      </c:catAx>
      <c:valAx>
        <c:axId val="59592607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2509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3756</Words>
  <Characters>6912</Characters>
  <Lines>0</Lines>
  <Paragraphs>0</Paragraphs>
  <TotalTime>1</TotalTime>
  <ScaleCrop>false</ScaleCrop>
  <LinksUpToDate>false</LinksUpToDate>
  <CharactersWithSpaces>7376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2023-04-13T02:11:45Z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67EB0E9F885749A28F66DD34A42035C8</vt:lpwstr>
  </property>
</Properties>
</file>