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1" name="等腰三角形 1"/>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JgWV2AAAAAwB&#10;AAAPAAAAAAAAAAEAIAAAACIAAABkcnMvZG93bnJldi54bWxQSwECFAAUAAAACACHTuJAS40xQBsC&#10;AAAFBAAADgAAAAAAAAABACAAAAAnAQAAZHJzL2Uyb0RvYy54bWxQSwUGAAAAAAYABgBZAQAAtAUA&#10;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7"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aeGy7hICAADtAwAA&#10;DgAAAAAAAAABACAAAAAqAQAAZHJzL2Uyb0RvYy54bWxQSwUGAAAAAAYABgBZAQAArgU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1</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6</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_x0000_s1026"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vsOzN0AAAAOAQAADwAAAAAA&#10;AAABACAAAAAiAAAAZHJzL2Rvd25yZXYueG1sUEsBAhQAFAAAAAgAh07iQItU9t/VAQAAigMAAA4A&#10;AAAAAAAAAQAgAAAALAEAAGRycy9lMm9Eb2MueG1sUEsFBgAAAAAGAAYAWQEAAHMFA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1</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6</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10"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DEy3YXOAIAAHY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8535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81215" cy="185356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60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2021年第一季度发文分析报告</w:t>
                            </w:r>
                          </w:p>
                          <w:p>
                            <w:pPr>
                              <w:spacing w:line="60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600" w:lineRule="auto"/>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45.95pt;width:565.45pt;mso-position-horizontal-relative:page;mso-position-vertical-relative:page;z-index:-251652096;mso-width-relative:page;mso-height-relative:page;" filled="f" stroked="f" coordsize="21600,21600" o:gfxdata="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jg8cjdAAAADAEAAA8AAAAAAAAAAQAgAAAAIgAAAGRycy9kb3du&#10;cmV2LnhtbFBLAQIUABQAAAAIAIdO4kAhusOEwQEAAGgDAAAOAAAAAAAAAAEAIAAAACwBAABkcnMv&#10;ZTJvRG9jLnhtbFBLBQYAAAAABgAGAFkBAABfBQ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60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2021年第一季度发文分析报告</w:t>
                      </w:r>
                    </w:p>
                    <w:p>
                      <w:pPr>
                        <w:spacing w:line="60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600" w:lineRule="auto"/>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2"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ApovElIwIAADIEAAAOAAAAAAAAAAEAIAAAACcBAABkcnMvZTJvRG9jLnhtbFBLBQYAAAAABgAG&#10;AFkBAAC8BQAAAAA=&#10;" adj="5302,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3"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7"/>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amwbkvUBAADYAwAADgAAAAAAAAABACAAAAAmAQAAZHJzL2Uyb0RvYy54bWxQ&#10;SwUGAAAAAAYABgBZAQAAjQUAAAAA&#10;">
                <v:fill on="t" focussize="0,0"/>
                <v:stroke on="f" weight="0.5pt"/>
                <v:imagedata o:title=""/>
                <o:lock v:ext="edit" aspectratio="f"/>
                <v:textbox inset="0mm,0mm,0mm,0mm">
                  <w:txbxContent>
                    <w:p>
                      <w:pPr>
                        <w:pStyle w:val="7"/>
                        <w:spacing w:before="40" w:after="560" w:line="216" w:lineRule="auto"/>
                        <w:rPr>
                          <w:rFonts w:hint="eastAsia" w:ascii="微软雅黑" w:hAnsi="微软雅黑" w:eastAsia="微软雅黑"/>
                          <w:color w:val="000000"/>
                          <w:sz w:val="48"/>
                          <w:szCs w:val="24"/>
                        </w:rPr>
                      </w:pPr>
                    </w:p>
                  </w:txbxContent>
                </v:textbox>
              </v:shape>
            </w:pict>
          </mc:Fallback>
        </mc:AlternateContent>
      </w:r>
    </w:p>
    <w:p>
      <w:pPr>
        <w:jc w:val="center"/>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hint="eastAsia" w:ascii="黑体" w:hAnsi="黑体" w:eastAsia="黑体" w:cs="黑体"/>
              <w:sz w:val="44"/>
              <w:szCs w:val="44"/>
            </w:rPr>
            <w:t>目录</w:t>
          </w:r>
        </w:p>
        <w:p>
          <w:pPr>
            <w:pStyle w:val="5"/>
            <w:tabs>
              <w:tab w:val="right" w:leader="dot" w:pos="8306"/>
            </w:tabs>
            <w:rPr>
              <w:b/>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pPr>
            <w:pStyle w:val="5"/>
            <w:tabs>
              <w:tab w:val="right" w:leader="dot" w:pos="8306"/>
            </w:tabs>
            <w:rPr>
              <w:b/>
            </w:rPr>
          </w:pPr>
        </w:p>
        <w:p>
          <w:pPr>
            <w:pStyle w:val="5"/>
            <w:tabs>
              <w:tab w:val="right" w:leader="dot" w:pos="8306"/>
            </w:tabs>
            <w:spacing w:line="360" w:lineRule="auto"/>
            <w:rPr>
              <w:rFonts w:hint="eastAsia" w:ascii="宋体" w:hAnsi="宋体" w:eastAsia="宋体" w:cs="宋体"/>
              <w:b/>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_Toc25354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一． 中文发文情况统计分析</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_Toc25354 </w:instrText>
          </w:r>
          <w:r>
            <w:rPr>
              <w:rFonts w:hint="eastAsia" w:ascii="宋体" w:hAnsi="宋体" w:eastAsia="宋体" w:cs="宋体"/>
              <w:b/>
              <w:sz w:val="24"/>
              <w:szCs w:val="24"/>
            </w:rPr>
            <w:fldChar w:fldCharType="separate"/>
          </w:r>
          <w:r>
            <w:rPr>
              <w:rFonts w:hint="eastAsia" w:ascii="宋体" w:hAnsi="宋体" w:eastAsia="宋体" w:cs="宋体"/>
              <w:b/>
              <w:sz w:val="24"/>
              <w:szCs w:val="24"/>
            </w:rPr>
            <w:t>4</w:t>
          </w:r>
          <w:r>
            <w:rPr>
              <w:rFonts w:hint="eastAsia" w:ascii="宋体" w:hAnsi="宋体" w:eastAsia="宋体" w:cs="宋体"/>
              <w:b/>
              <w:sz w:val="24"/>
              <w:szCs w:val="24"/>
            </w:rPr>
            <w:fldChar w:fldCharType="end"/>
          </w:r>
          <w:r>
            <w:rPr>
              <w:rFonts w:hint="eastAsia" w:ascii="宋体" w:hAnsi="宋体" w:eastAsia="宋体" w:cs="宋体"/>
              <w:b/>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_Toc21339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_Toc21339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_Toc14591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_Toc14591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_Toc26814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_Toc26814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_Toc27178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_Toc27178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_Toc23516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5.作者分析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_Toc23516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_Toc27929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_Toc27929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_Toc28119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_Toc28119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_Toc22505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_Toc22505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b/>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_Toc30657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二． 外文发文情况统计分析</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_Toc30657 </w:instrText>
          </w:r>
          <w:r>
            <w:rPr>
              <w:rFonts w:hint="eastAsia" w:ascii="宋体" w:hAnsi="宋体" w:eastAsia="宋体" w:cs="宋体"/>
              <w:b/>
              <w:sz w:val="24"/>
              <w:szCs w:val="24"/>
            </w:rPr>
            <w:fldChar w:fldCharType="separate"/>
          </w:r>
          <w:r>
            <w:rPr>
              <w:rFonts w:hint="eastAsia" w:ascii="宋体" w:hAnsi="宋体" w:eastAsia="宋体" w:cs="宋体"/>
              <w:b/>
              <w:sz w:val="24"/>
              <w:szCs w:val="24"/>
            </w:rPr>
            <w:t>10</w:t>
          </w:r>
          <w:r>
            <w:rPr>
              <w:rFonts w:hint="eastAsia" w:ascii="宋体" w:hAnsi="宋体" w:eastAsia="宋体" w:cs="宋体"/>
              <w:b/>
              <w:sz w:val="24"/>
              <w:szCs w:val="24"/>
            </w:rPr>
            <w:fldChar w:fldCharType="end"/>
          </w:r>
          <w:r>
            <w:rPr>
              <w:rFonts w:hint="eastAsia" w:ascii="宋体" w:hAnsi="宋体" w:eastAsia="宋体" w:cs="宋体"/>
              <w:b/>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_Toc21827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_Toc21827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_Toc16394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_Toc16394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_Toc1663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_Toc1663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_Toc11441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_Toc11441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_Toc25500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5.作者分析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_Toc25500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_Toc16329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_Toc16329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_Toc28712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_Toc28712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bCs/>
              <w:szCs w:val="24"/>
            </w:rPr>
            <w:fldChar w:fldCharType="end"/>
          </w:r>
        </w:p>
      </w:sdtContent>
    </w:sdt>
    <w:p>
      <w:pPr>
        <w:spacing w:line="480" w:lineRule="auto"/>
        <w:outlineLvl w:val="0"/>
        <w:rPr>
          <w:rFonts w:hint="eastAsia" w:ascii="宋体" w:hAnsi="宋体" w:eastAsia="宋体" w:cs="宋体"/>
          <w:b/>
          <w:bCs/>
          <w:sz w:val="24"/>
          <w:szCs w:val="24"/>
        </w:rPr>
      </w:pPr>
      <w:bookmarkStart w:id="0" w:name="_Toc28842"/>
      <w:r>
        <w:rPr>
          <w:rFonts w:hint="eastAsia" w:ascii="宋体" w:hAnsi="宋体" w:eastAsia="宋体" w:cs="宋体"/>
          <w:b/>
          <w:bCs/>
          <w:sz w:val="24"/>
          <w:szCs w:val="24"/>
        </w:rPr>
        <w:t>数据来源</w:t>
      </w:r>
      <w:bookmarkEnd w:id="0"/>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（1）中国知网（CNKI），主要用于国内期刊论文的统计分析，数据统计下载日期为20</w:t>
      </w:r>
      <w:r>
        <w:rPr>
          <w:rFonts w:hint="eastAsia" w:ascii="宋体" w:hAnsi="宋体" w:eastAsia="宋体" w:cs="宋体"/>
          <w:sz w:val="24"/>
          <w:szCs w:val="24"/>
          <w:lang w:val="en-US" w:eastAsia="zh-CN"/>
        </w:rPr>
        <w:t>21</w:t>
      </w:r>
      <w:r>
        <w:rPr>
          <w:rFonts w:hint="eastAsia" w:ascii="宋体" w:hAnsi="宋体" w:eastAsia="宋体" w:cs="宋体"/>
          <w:sz w:val="24"/>
          <w:szCs w:val="24"/>
        </w:rPr>
        <w:t>年</w:t>
      </w:r>
      <w:r>
        <w:rPr>
          <w:rFonts w:hint="eastAsia" w:ascii="宋体" w:hAnsi="宋体" w:eastAsia="宋体" w:cs="宋体"/>
          <w:sz w:val="24"/>
          <w:szCs w:val="24"/>
          <w:lang w:val="en-US" w:eastAsia="zh-CN"/>
        </w:rPr>
        <w:t>05</w:t>
      </w:r>
      <w:r>
        <w:rPr>
          <w:rFonts w:hint="eastAsia" w:ascii="宋体" w:hAnsi="宋体" w:eastAsia="宋体" w:cs="宋体"/>
          <w:sz w:val="24"/>
          <w:szCs w:val="24"/>
        </w:rPr>
        <w:t>月</w:t>
      </w:r>
      <w:r>
        <w:rPr>
          <w:rFonts w:hint="eastAsia" w:ascii="宋体" w:hAnsi="宋体" w:eastAsia="宋体" w:cs="宋体"/>
          <w:sz w:val="24"/>
          <w:szCs w:val="24"/>
          <w:lang w:val="en-US" w:eastAsia="zh-CN"/>
        </w:rPr>
        <w:t>26</w:t>
      </w:r>
      <w:r>
        <w:rPr>
          <w:rFonts w:hint="eastAsia" w:ascii="宋体" w:hAnsi="宋体" w:eastAsia="宋体" w:cs="宋体"/>
          <w:sz w:val="24"/>
          <w:szCs w:val="24"/>
        </w:rPr>
        <w:t>日。</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2021</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p>
      <w:pPr>
        <w:spacing w:line="480" w:lineRule="auto"/>
        <w:outlineLvl w:val="0"/>
        <w:rPr>
          <w:rFonts w:hint="eastAsia" w:ascii="宋体" w:hAnsi="宋体" w:eastAsia="宋体" w:cs="宋体"/>
          <w:b/>
          <w:bCs/>
          <w:sz w:val="24"/>
          <w:szCs w:val="24"/>
        </w:rPr>
      </w:pPr>
      <w:bookmarkStart w:id="1" w:name="_Toc9355"/>
      <w:r>
        <w:rPr>
          <w:rFonts w:hint="eastAsia" w:ascii="宋体" w:hAnsi="宋体" w:eastAsia="宋体" w:cs="宋体"/>
          <w:b/>
          <w:bCs/>
          <w:sz w:val="24"/>
          <w:szCs w:val="24"/>
        </w:rPr>
        <w:t>数据处理</w:t>
      </w:r>
      <w:bookmarkEnd w:id="1"/>
    </w:p>
    <w:p>
      <w:pPr>
        <w:spacing w:line="480" w:lineRule="auto"/>
        <w:ind w:firstLine="480" w:firstLineChars="200"/>
        <w:outlineLvl w:val="0"/>
        <w:rPr>
          <w:rFonts w:hint="eastAsia" w:ascii="宋体" w:hAnsi="宋体" w:eastAsia="宋体" w:cs="宋体"/>
          <w:sz w:val="24"/>
          <w:szCs w:val="24"/>
        </w:rPr>
      </w:pPr>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600" w:lineRule="auto"/>
        <w:jc w:val="left"/>
        <w:outlineLvl w:val="0"/>
        <w:rPr>
          <w:rFonts w:hint="eastAsia" w:ascii="宋体" w:hAnsi="宋体" w:eastAsia="宋体" w:cs="宋体"/>
          <w:sz w:val="24"/>
          <w:szCs w:val="24"/>
        </w:rPr>
      </w:pPr>
      <w:bookmarkStart w:id="2" w:name="_Toc30686"/>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2"/>
      <w:r>
        <w:rPr>
          <w:rFonts w:hint="eastAsia" w:ascii="宋体" w:hAnsi="宋体" w:eastAsia="宋体" w:cs="宋体"/>
          <w:sz w:val="24"/>
          <w:szCs w:val="24"/>
        </w:rPr>
        <w:t xml:space="preserve">        </w:t>
      </w:r>
    </w:p>
    <w:p>
      <w:pPr>
        <w:spacing w:line="600" w:lineRule="auto"/>
        <w:jc w:val="both"/>
        <w:outlineLvl w:val="0"/>
        <w:rPr>
          <w:rFonts w:hint="eastAsia" w:ascii="宋体" w:hAnsi="宋体" w:eastAsia="宋体" w:cs="宋体"/>
          <w:b/>
          <w:bCs/>
          <w:sz w:val="24"/>
          <w:szCs w:val="24"/>
          <w:lang w:val="en-US" w:eastAsia="zh-CN"/>
        </w:rPr>
      </w:pPr>
      <w:bookmarkStart w:id="3" w:name="_Toc13037"/>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3"/>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outlineLvl w:val="0"/>
        <w:rPr>
          <w:rFonts w:hint="eastAsia" w:ascii="黑体" w:hAnsi="黑体" w:eastAsia="黑体" w:cs="黑体"/>
          <w:b/>
          <w:bCs/>
          <w:sz w:val="44"/>
          <w:szCs w:val="44"/>
          <w:lang w:val="en-US" w:eastAsia="zh-CN"/>
        </w:rPr>
      </w:pPr>
      <w:bookmarkStart w:id="4" w:name="_Toc7382"/>
      <w:bookmarkStart w:id="5" w:name="_Toc10613"/>
      <w:r>
        <w:rPr>
          <w:rFonts w:hint="eastAsia" w:ascii="黑体" w:hAnsi="黑体" w:eastAsia="黑体" w:cs="黑体"/>
          <w:b/>
          <w:bCs/>
          <w:sz w:val="44"/>
          <w:szCs w:val="44"/>
          <w:lang w:val="en-US" w:eastAsia="zh-CN"/>
        </w:rPr>
        <w:t>河北科技师范学院</w:t>
      </w:r>
      <w:bookmarkEnd w:id="4"/>
      <w:bookmarkEnd w:id="5"/>
      <w:bookmarkStart w:id="41" w:name="_GoBack"/>
      <w:bookmarkEnd w:id="41"/>
    </w:p>
    <w:p>
      <w:pPr>
        <w:jc w:val="center"/>
        <w:outlineLvl w:val="0"/>
        <w:rPr>
          <w:rFonts w:hint="eastAsia" w:ascii="黑体" w:hAnsi="黑体" w:eastAsia="黑体" w:cs="黑体"/>
          <w:b/>
          <w:bCs/>
          <w:sz w:val="44"/>
          <w:szCs w:val="44"/>
          <w:lang w:val="en-US" w:eastAsia="zh-CN"/>
        </w:rPr>
      </w:pPr>
      <w:bookmarkStart w:id="6" w:name="_Toc8013"/>
      <w:bookmarkStart w:id="7" w:name="_Toc9198"/>
      <w:r>
        <w:rPr>
          <w:rFonts w:hint="eastAsia" w:ascii="黑体" w:hAnsi="黑体" w:eastAsia="黑体" w:cs="黑体"/>
          <w:b/>
          <w:bCs/>
          <w:sz w:val="44"/>
          <w:szCs w:val="44"/>
          <w:lang w:val="en-US" w:eastAsia="zh-CN"/>
        </w:rPr>
        <w:t>2021年第一季度发文分析报告</w:t>
      </w:r>
      <w:bookmarkEnd w:id="6"/>
      <w:bookmarkEnd w:id="7"/>
    </w:p>
    <w:p>
      <w:pPr>
        <w:jc w:val="center"/>
        <w:rPr>
          <w:rFonts w:hint="eastAsia" w:ascii="黑体" w:hAnsi="黑体" w:eastAsia="黑体" w:cs="黑体"/>
          <w:b/>
          <w:bCs/>
          <w:sz w:val="30"/>
          <w:szCs w:val="30"/>
          <w:lang w:val="en-US" w:eastAsia="zh-CN"/>
        </w:rPr>
      </w:pPr>
    </w:p>
    <w:p>
      <w:pPr>
        <w:numPr>
          <w:ilvl w:val="0"/>
          <w:numId w:val="1"/>
        </w:numPr>
        <w:jc w:val="both"/>
        <w:outlineLvl w:val="0"/>
        <w:rPr>
          <w:rFonts w:hint="eastAsia" w:ascii="黑体" w:hAnsi="黑体" w:eastAsia="黑体" w:cs="黑体"/>
          <w:b/>
          <w:bCs/>
          <w:sz w:val="30"/>
          <w:szCs w:val="30"/>
          <w:lang w:val="en-US" w:eastAsia="zh-CN"/>
        </w:rPr>
      </w:pPr>
      <w:bookmarkStart w:id="8" w:name="_Toc25354"/>
      <w:bookmarkStart w:id="9" w:name="_Toc3849"/>
      <w:r>
        <w:rPr>
          <w:rFonts w:hint="eastAsia" w:ascii="黑体" w:hAnsi="黑体" w:eastAsia="黑体" w:cs="黑体"/>
          <w:b/>
          <w:bCs/>
          <w:sz w:val="32"/>
          <w:szCs w:val="32"/>
          <w:lang w:val="en-US" w:eastAsia="zh-CN"/>
        </w:rPr>
        <w:t>中文发文情况统计分析</w:t>
      </w:r>
      <w:bookmarkEnd w:id="8"/>
      <w:bookmarkEnd w:id="9"/>
    </w:p>
    <w:p>
      <w:pPr>
        <w:numPr>
          <w:ilvl w:val="0"/>
          <w:numId w:val="2"/>
        </w:numPr>
        <w:jc w:val="both"/>
        <w:outlineLvl w:val="1"/>
        <w:rPr>
          <w:rFonts w:hint="eastAsia" w:ascii="仿宋" w:hAnsi="仿宋" w:eastAsia="仿宋" w:cs="仿宋"/>
          <w:b/>
          <w:bCs/>
          <w:sz w:val="30"/>
          <w:szCs w:val="30"/>
          <w:lang w:val="en-US" w:eastAsia="zh-CN"/>
        </w:rPr>
      </w:pPr>
      <w:bookmarkStart w:id="10" w:name="_Toc30099"/>
      <w:bookmarkStart w:id="11" w:name="_Toc21339"/>
      <w:r>
        <w:rPr>
          <w:rFonts w:hint="eastAsia" w:ascii="仿宋" w:hAnsi="仿宋" w:eastAsia="仿宋" w:cs="仿宋"/>
          <w:b/>
          <w:bCs/>
          <w:sz w:val="30"/>
          <w:szCs w:val="30"/>
          <w:lang w:val="en-US" w:eastAsia="zh-CN"/>
        </w:rPr>
        <w:t>发文量分析</w:t>
      </w:r>
      <w:bookmarkEnd w:id="10"/>
      <w:bookmarkEnd w:id="11"/>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2021</w:t>
      </w:r>
      <w:r>
        <w:rPr>
          <w:rFonts w:hint="eastAsia" w:ascii="仿宋" w:hAnsi="仿宋" w:eastAsia="仿宋" w:cs="仿宋"/>
          <w:sz w:val="28"/>
          <w:szCs w:val="28"/>
          <w:lang w:val="en-US" w:eastAsia="zh-CN"/>
        </w:rPr>
        <w:t>年第一季度</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123</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41</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106</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86.2</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w:t>
      </w:r>
      <w:r>
        <w:rPr>
          <w:rFonts w:hint="eastAsia" w:ascii="仿宋" w:hAnsi="仿宋" w:eastAsia="仿宋" w:cs="仿宋"/>
          <w:b/>
          <w:bCs/>
          <w:color w:val="000000"/>
          <w:kern w:val="0"/>
          <w:sz w:val="24"/>
          <w:szCs w:val="24"/>
          <w:lang w:bidi="ar"/>
        </w:rPr>
        <w:t>国内期刊发文情况统计表</w:t>
      </w:r>
    </w:p>
    <w:tbl>
      <w:tblPr>
        <w:tblStyle w:val="2"/>
        <w:tblW w:w="4999" w:type="pct"/>
        <w:jc w:val="center"/>
        <w:tblLayout w:type="autofit"/>
        <w:tblCellMar>
          <w:top w:w="15" w:type="dxa"/>
          <w:left w:w="15" w:type="dxa"/>
          <w:bottom w:w="15" w:type="dxa"/>
          <w:right w:w="15" w:type="dxa"/>
        </w:tblCellMar>
      </w:tblPr>
      <w:tblGrid>
        <w:gridCol w:w="2644"/>
        <w:gridCol w:w="2699"/>
        <w:gridCol w:w="2991"/>
      </w:tblGrid>
      <w:tr>
        <w:tblPrEx>
          <w:tblCellMar>
            <w:top w:w="15" w:type="dxa"/>
            <w:left w:w="15" w:type="dxa"/>
            <w:bottom w:w="15" w:type="dxa"/>
            <w:right w:w="15" w:type="dxa"/>
          </w:tblCellMar>
        </w:tblPrEx>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2021年1月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44</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37</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2021年2月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36</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31</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2021年3月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43</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38</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123</w:t>
            </w:r>
          </w:p>
        </w:tc>
        <w:tc>
          <w:tcPr>
            <w:tcW w:w="29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106</w:t>
            </w:r>
          </w:p>
        </w:tc>
      </w:tr>
    </w:tbl>
    <w:p>
      <w:pPr>
        <w:spacing w:line="48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注：1.国内期刊论文：统计源为中国知网《中国引文数据库》，共计11225种期刊。</w:t>
      </w:r>
    </w:p>
    <w:p>
      <w:pPr>
        <w:numPr>
          <w:ilvl w:val="0"/>
          <w:numId w:val="2"/>
        </w:numPr>
        <w:spacing w:line="480" w:lineRule="auto"/>
        <w:ind w:left="0" w:leftChars="0" w:firstLine="0" w:firstLineChars="0"/>
        <w:jc w:val="left"/>
        <w:rPr>
          <w:rFonts w:hint="default" w:ascii="微软雅黑" w:hAnsi="微软雅黑" w:eastAsia="微软雅黑" w:cs="微软雅黑"/>
          <w:sz w:val="21"/>
          <w:szCs w:val="21"/>
          <w:lang w:val="en-US"/>
        </w:rPr>
      </w:pPr>
      <w:r>
        <w:rPr>
          <w:rFonts w:hint="eastAsia" w:ascii="微软雅黑" w:hAnsi="微软雅黑" w:eastAsia="微软雅黑" w:cs="微软雅黑"/>
          <w:sz w:val="21"/>
          <w:szCs w:val="21"/>
        </w:rPr>
        <w:t>北大核心发文量：</w:t>
      </w:r>
      <w:r>
        <w:rPr>
          <w:rFonts w:hint="eastAsia" w:ascii="微软雅黑" w:hAnsi="微软雅黑" w:eastAsia="微软雅黑" w:cs="微软雅黑"/>
          <w:sz w:val="21"/>
          <w:szCs w:val="21"/>
          <w:lang w:val="en-US" w:eastAsia="zh-CN"/>
        </w:rPr>
        <w:t>本次数据检索时间为2021.05.26，当前数据统计时间范围为2006-2020年，数据采集截止时间为2020年11月17日，因此2021年第一季度北大核心发文数据不具备分析意义，本分析报告不作分析。</w:t>
      </w:r>
    </w:p>
    <w:p>
      <w:pPr>
        <w:numPr>
          <w:ilvl w:val="0"/>
          <w:numId w:val="0"/>
        </w:numPr>
        <w:jc w:val="both"/>
        <w:outlineLvl w:val="1"/>
        <w:rPr>
          <w:rFonts w:hint="eastAsia" w:ascii="仿宋" w:hAnsi="仿宋" w:eastAsia="仿宋" w:cs="仿宋"/>
          <w:b/>
          <w:bCs/>
          <w:sz w:val="30"/>
          <w:szCs w:val="30"/>
          <w:lang w:val="en-US" w:eastAsia="zh-CN"/>
        </w:rPr>
      </w:pPr>
      <w:bookmarkStart w:id="12" w:name="_Toc25622"/>
      <w:bookmarkStart w:id="13" w:name="_Toc14591"/>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2.论文主题分析</w:t>
      </w:r>
      <w:bookmarkEnd w:id="12"/>
      <w:bookmarkEnd w:id="13"/>
    </w:p>
    <w:p>
      <w:pPr>
        <w:numPr>
          <w:ilvl w:val="0"/>
          <w:numId w:val="0"/>
        </w:numPr>
        <w:spacing w:line="48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在2021年第一季度国内公开发表的123篇论文中，通过对主要主题词分析得到频次大于两次的主题词分布为：景观营建、思想政治工作能力、康养旅游、特色小镇等，具体分布频次详见图1。</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3209290"/>
            <wp:effectExtent l="4445" t="4445" r="14605" b="571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numPr>
          <w:ilvl w:val="0"/>
          <w:numId w:val="0"/>
        </w:numPr>
        <w:ind w:leftChars="0" w:firstLine="420" w:firstLineChars="200"/>
        <w:jc w:val="both"/>
      </w:pPr>
      <w:r>
        <w:rPr>
          <w:rFonts w:hint="eastAsia"/>
          <w:lang w:val="en-US" w:eastAsia="zh-CN"/>
        </w:rPr>
        <w:t xml:space="preserve"> </w:t>
      </w:r>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在2021年第一季度国内公开发表的123篇论文中，通过对次要主题词分析得到频次大于两次的主题词分布为：钢琴演奏、中华寿桃、马克思主义、桃品种等，具体分布频次详见图2。</w:t>
      </w:r>
    </w:p>
    <w:p>
      <w:pPr>
        <w:numPr>
          <w:ilvl w:val="0"/>
          <w:numId w:val="0"/>
        </w:numPr>
        <w:ind w:leftChars="0" w:firstLine="560" w:firstLineChars="200"/>
        <w:jc w:val="center"/>
        <w:rPr>
          <w:rFonts w:hint="eastAsia" w:ascii="仿宋" w:hAnsi="仿宋" w:eastAsia="仿宋" w:cs="仿宋"/>
          <w:b w:val="0"/>
          <w:bCs w:val="0"/>
          <w:sz w:val="28"/>
          <w:szCs w:val="28"/>
          <w:lang w:val="en-US" w:eastAsia="zh-CN"/>
        </w:rPr>
      </w:pPr>
    </w:p>
    <w:p>
      <w:pPr>
        <w:numPr>
          <w:ilvl w:val="0"/>
          <w:numId w:val="0"/>
        </w:numPr>
        <w:ind w:leftChars="0" w:firstLine="560" w:firstLineChars="200"/>
        <w:jc w:val="center"/>
        <w:rPr>
          <w:rFonts w:hint="eastAsia" w:ascii="仿宋" w:hAnsi="仿宋" w:eastAsia="仿宋" w:cs="仿宋"/>
          <w:b w:val="0"/>
          <w:bCs w:val="0"/>
          <w:sz w:val="28"/>
          <w:szCs w:val="28"/>
          <w:lang w:val="en-US" w:eastAsia="zh-CN"/>
        </w:rPr>
      </w:pPr>
    </w:p>
    <w:p>
      <w:pPr>
        <w:numPr>
          <w:ilvl w:val="0"/>
          <w:numId w:val="0"/>
        </w:numPr>
        <w:ind w:leftChars="0" w:firstLine="560" w:firstLineChars="200"/>
        <w:jc w:val="center"/>
        <w:rPr>
          <w:rFonts w:hint="eastAsia" w:ascii="仿宋" w:hAnsi="仿宋" w:eastAsia="仿宋" w:cs="仿宋"/>
          <w:b w:val="0"/>
          <w:bCs w:val="0"/>
          <w:sz w:val="28"/>
          <w:szCs w:val="28"/>
          <w:lang w:val="en-US" w:eastAsia="zh-CN"/>
        </w:rPr>
      </w:pPr>
    </w:p>
    <w:p>
      <w:pPr>
        <w:numPr>
          <w:ilvl w:val="0"/>
          <w:numId w:val="0"/>
        </w:numPr>
        <w:ind w:leftChars="0" w:firstLine="560" w:firstLineChars="200"/>
        <w:jc w:val="center"/>
        <w:rPr>
          <w:rFonts w:hint="eastAsia" w:ascii="仿宋" w:hAnsi="仿宋" w:eastAsia="仿宋" w:cs="仿宋"/>
          <w:b w:val="0"/>
          <w:bCs w:val="0"/>
          <w:sz w:val="28"/>
          <w:szCs w:val="28"/>
          <w:lang w:val="en-US" w:eastAsia="zh-CN"/>
        </w:rPr>
      </w:pPr>
    </w:p>
    <w:p>
      <w:pPr>
        <w:numPr>
          <w:ilvl w:val="0"/>
          <w:numId w:val="0"/>
        </w:numPr>
        <w:ind w:leftChars="0" w:firstLine="560" w:firstLineChars="200"/>
        <w:jc w:val="center"/>
        <w:rPr>
          <w:rFonts w:hint="eastAsia" w:ascii="仿宋" w:hAnsi="仿宋" w:eastAsia="仿宋" w:cs="仿宋"/>
          <w:b w:val="0"/>
          <w:bCs w:val="0"/>
          <w:sz w:val="28"/>
          <w:szCs w:val="28"/>
          <w:lang w:val="en-US" w:eastAsia="zh-CN"/>
        </w:rPr>
      </w:pPr>
    </w:p>
    <w:p>
      <w:pPr>
        <w:numPr>
          <w:ilvl w:val="0"/>
          <w:numId w:val="0"/>
        </w:numPr>
        <w:ind w:leftChars="0" w:firstLine="560" w:firstLineChars="200"/>
        <w:jc w:val="center"/>
        <w:rPr>
          <w:rFonts w:hint="eastAsia" w:ascii="仿宋" w:hAnsi="仿宋" w:eastAsia="仿宋" w:cs="仿宋"/>
          <w:b w:val="0"/>
          <w:bCs w:val="0"/>
          <w:sz w:val="28"/>
          <w:szCs w:val="28"/>
          <w:lang w:val="en-US" w:eastAsia="zh-CN"/>
        </w:rPr>
      </w:pPr>
    </w:p>
    <w:p>
      <w:pPr>
        <w:numPr>
          <w:ilvl w:val="0"/>
          <w:numId w:val="0"/>
        </w:numPr>
        <w:jc w:val="both"/>
        <w:rPr>
          <w:rFonts w:hint="eastAsia" w:ascii="仿宋" w:hAnsi="仿宋" w:eastAsia="仿宋" w:cs="仿宋"/>
          <w:b w:val="0"/>
          <w:bCs w:val="0"/>
          <w:sz w:val="28"/>
          <w:szCs w:val="28"/>
          <w:lang w:val="en-US" w:eastAsia="zh-CN"/>
        </w:rPr>
      </w:pP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pPr>
        <w:numPr>
          <w:ilvl w:val="0"/>
          <w:numId w:val="0"/>
        </w:numPr>
        <w:spacing w:line="480" w:lineRule="auto"/>
        <w:jc w:val="center"/>
      </w:pPr>
      <w:r>
        <w:drawing>
          <wp:inline distT="0" distB="0" distL="114300" distR="114300">
            <wp:extent cx="4572000" cy="3039110"/>
            <wp:effectExtent l="4445" t="4445" r="14605" b="2349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bookmarkStart w:id="14" w:name="_Toc9501"/>
      <w:bookmarkStart w:id="15" w:name="_Toc26814"/>
    </w:p>
    <w:p>
      <w:pPr>
        <w:numPr>
          <w:ilvl w:val="0"/>
          <w:numId w:val="0"/>
        </w:numPr>
        <w:spacing w:line="480" w:lineRule="auto"/>
        <w:jc w:val="center"/>
        <w:rPr>
          <w:rFonts w:hint="eastAsia"/>
          <w:lang w:val="en-US" w:eastAsia="zh-CN"/>
        </w:rPr>
      </w:pPr>
    </w:p>
    <w:p>
      <w:pPr>
        <w:numPr>
          <w:ilvl w:val="0"/>
          <w:numId w:val="2"/>
        </w:numPr>
        <w:ind w:left="0" w:leftChars="0" w:firstLine="0" w:firstLine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关键词分析</w:t>
      </w:r>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综合分析2021年第一季度国内公开发表的123篇论文中，通过对关键词分析得到频次较高的关键词分布为：秦皇岛、全域旅游、大学生、高校、乡村振兴等，具体分布频次详见图3。</w:t>
      </w: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关键词分布</w:t>
      </w:r>
    </w:p>
    <w:p>
      <w:pPr>
        <w:numPr>
          <w:ilvl w:val="0"/>
          <w:numId w:val="0"/>
        </w:numPr>
        <w:ind w:leftChars="0"/>
        <w:jc w:val="center"/>
        <w:outlineLvl w:val="1"/>
        <w:rPr>
          <w:rFonts w:hint="default" w:ascii="仿宋" w:hAnsi="仿宋" w:eastAsia="仿宋" w:cs="仿宋"/>
          <w:b/>
          <w:bCs/>
          <w:color w:val="000000"/>
          <w:kern w:val="0"/>
          <w:sz w:val="24"/>
          <w:szCs w:val="24"/>
          <w:lang w:val="en-US" w:eastAsia="zh-CN" w:bidi="ar"/>
        </w:rPr>
      </w:pPr>
      <w:r>
        <w:drawing>
          <wp:inline distT="0" distB="0" distL="114300" distR="114300">
            <wp:extent cx="4572000" cy="3019425"/>
            <wp:effectExtent l="4445" t="4445" r="14605" b="5080"/>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4.文献来源分析</w:t>
      </w:r>
      <w:bookmarkEnd w:id="14"/>
      <w:bookmarkEnd w:id="15"/>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一季度国内公开发表的123篇论文中，文献来源共计54种，主要集中在河北科技师范学院学报、分子植物育种、南方农业、乡村科技等。其中论文数在3篇以上的有4种，论文数2篇以上的有10种，发表论文最多的刊物是《河北科技师范学院学报》。详见表2。</w:t>
      </w:r>
    </w:p>
    <w:p>
      <w:pPr>
        <w:numPr>
          <w:ilvl w:val="0"/>
          <w:numId w:val="0"/>
        </w:numPr>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ind w:leftChars="0" w:firstLine="482" w:firstLineChars="200"/>
        <w:jc w:val="both"/>
        <w:rPr>
          <w:rFonts w:hint="eastAsia" w:ascii="仿宋" w:hAnsi="仿宋" w:eastAsia="仿宋" w:cs="仿宋"/>
          <w:b/>
          <w:bCs/>
          <w:color w:val="000000"/>
          <w:kern w:val="0"/>
          <w:sz w:val="24"/>
          <w:szCs w:val="24"/>
          <w:lang w:val="en-US" w:eastAsia="zh-CN" w:bidi="ar"/>
        </w:rPr>
      </w:pPr>
    </w:p>
    <w:tbl>
      <w:tblPr>
        <w:tblStyle w:val="2"/>
        <w:tblW w:w="4998" w:type="pct"/>
        <w:tblInd w:w="0" w:type="dxa"/>
        <w:shd w:val="clear" w:color="auto" w:fill="auto"/>
        <w:tblLayout w:type="autofit"/>
        <w:tblCellMar>
          <w:top w:w="0" w:type="dxa"/>
          <w:left w:w="0" w:type="dxa"/>
          <w:bottom w:w="0" w:type="dxa"/>
          <w:right w:w="0" w:type="dxa"/>
        </w:tblCellMar>
      </w:tblPr>
      <w:tblGrid>
        <w:gridCol w:w="3171"/>
        <w:gridCol w:w="2070"/>
        <w:gridCol w:w="3092"/>
      </w:tblGrid>
      <w:tr>
        <w:tblPrEx>
          <w:shd w:val="clear" w:color="auto" w:fill="auto"/>
          <w:tblCellMar>
            <w:top w:w="0" w:type="dxa"/>
            <w:left w:w="0" w:type="dxa"/>
            <w:bottom w:w="0" w:type="dxa"/>
            <w:right w:w="0" w:type="dxa"/>
          </w:tblCellMar>
        </w:tblPrEx>
        <w:trPr>
          <w:trHeight w:val="615" w:hRule="atLeast"/>
        </w:trPr>
        <w:tc>
          <w:tcPr>
            <w:tcW w:w="1902"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242"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855"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tblPrEx>
          <w:shd w:val="clear" w:color="auto" w:fill="auto"/>
          <w:tblCellMar>
            <w:top w:w="0" w:type="dxa"/>
            <w:left w:w="0" w:type="dxa"/>
            <w:bottom w:w="0" w:type="dxa"/>
            <w:right w:w="0" w:type="dxa"/>
          </w:tblCellMar>
        </w:tblPrEx>
        <w:trPr>
          <w:trHeight w:val="500" w:hRule="atLeast"/>
        </w:trPr>
        <w:tc>
          <w:tcPr>
            <w:tcW w:w="317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河北科技师范学院学报</w:t>
            </w:r>
          </w:p>
        </w:tc>
        <w:tc>
          <w:tcPr>
            <w:tcW w:w="2070"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10</w:t>
            </w:r>
          </w:p>
        </w:tc>
        <w:tc>
          <w:tcPr>
            <w:tcW w:w="185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0.557</w:t>
            </w:r>
          </w:p>
        </w:tc>
      </w:tr>
      <w:tr>
        <w:tblPrEx>
          <w:tblCellMar>
            <w:top w:w="0" w:type="dxa"/>
            <w:left w:w="0" w:type="dxa"/>
            <w:bottom w:w="0" w:type="dxa"/>
            <w:right w:w="0" w:type="dxa"/>
          </w:tblCellMar>
        </w:tblPrEx>
        <w:trPr>
          <w:trHeight w:val="500" w:hRule="atLeast"/>
        </w:trPr>
        <w:tc>
          <w:tcPr>
            <w:tcW w:w="3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分子植物育种</w:t>
            </w:r>
          </w:p>
        </w:tc>
        <w:tc>
          <w:tcPr>
            <w:tcW w:w="207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855"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0.731</w:t>
            </w:r>
          </w:p>
        </w:tc>
      </w:tr>
      <w:tr>
        <w:tblPrEx>
          <w:tblCellMar>
            <w:top w:w="0" w:type="dxa"/>
            <w:left w:w="0" w:type="dxa"/>
            <w:bottom w:w="0" w:type="dxa"/>
            <w:right w:w="0" w:type="dxa"/>
          </w:tblCellMar>
        </w:tblPrEx>
        <w:trPr>
          <w:trHeight w:val="500" w:hRule="atLeast"/>
        </w:trPr>
        <w:tc>
          <w:tcPr>
            <w:tcW w:w="317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南方农业</w:t>
            </w:r>
          </w:p>
        </w:tc>
        <w:tc>
          <w:tcPr>
            <w:tcW w:w="2070"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85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jc w:val="center"/>
              <w:rPr>
                <w:rFonts w:hint="default" w:ascii="仿宋" w:hAnsi="仿宋" w:eastAsia="仿宋" w:cs="仿宋"/>
                <w:i w:val="0"/>
                <w:color w:val="000000"/>
                <w:sz w:val="24"/>
                <w:szCs w:val="24"/>
                <w:u w:val="none"/>
                <w:lang w:val="en-US" w:eastAsia="zh-CN"/>
              </w:rPr>
            </w:pPr>
          </w:p>
        </w:tc>
      </w:tr>
      <w:tr>
        <w:tblPrEx>
          <w:tblCellMar>
            <w:top w:w="0" w:type="dxa"/>
            <w:left w:w="0" w:type="dxa"/>
            <w:bottom w:w="0" w:type="dxa"/>
            <w:right w:w="0" w:type="dxa"/>
          </w:tblCellMar>
        </w:tblPrEx>
        <w:trPr>
          <w:trHeight w:val="500" w:hRule="atLeast"/>
        </w:trPr>
        <w:tc>
          <w:tcPr>
            <w:tcW w:w="3171" w:type="dxa"/>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乡村科技</w:t>
            </w:r>
          </w:p>
        </w:tc>
        <w:tc>
          <w:tcPr>
            <w:tcW w:w="207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855"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p>
        </w:tc>
      </w:tr>
      <w:tr>
        <w:tblPrEx>
          <w:tblCellMar>
            <w:top w:w="0" w:type="dxa"/>
            <w:left w:w="0" w:type="dxa"/>
            <w:bottom w:w="0" w:type="dxa"/>
            <w:right w:w="0" w:type="dxa"/>
          </w:tblCellMar>
        </w:tblPrEx>
        <w:trPr>
          <w:trHeight w:val="500" w:hRule="atLeast"/>
        </w:trPr>
        <w:tc>
          <w:tcPr>
            <w:tcW w:w="317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创新创业理论研究与实践</w:t>
            </w:r>
          </w:p>
        </w:tc>
        <w:tc>
          <w:tcPr>
            <w:tcW w:w="2070"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5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jc w:val="center"/>
              <w:rPr>
                <w:rFonts w:hint="default" w:ascii="仿宋" w:hAnsi="仿宋" w:eastAsia="仿宋" w:cs="仿宋"/>
                <w:i w:val="0"/>
                <w:color w:val="000000"/>
                <w:sz w:val="24"/>
                <w:szCs w:val="24"/>
                <w:u w:val="none"/>
                <w:lang w:val="en-US" w:eastAsia="zh-CN"/>
              </w:rPr>
            </w:pPr>
          </w:p>
        </w:tc>
      </w:tr>
      <w:tr>
        <w:tblPrEx>
          <w:shd w:val="clear" w:color="auto" w:fill="auto"/>
          <w:tblCellMar>
            <w:top w:w="0" w:type="dxa"/>
            <w:left w:w="0" w:type="dxa"/>
            <w:bottom w:w="0" w:type="dxa"/>
            <w:right w:w="0" w:type="dxa"/>
          </w:tblCellMar>
        </w:tblPrEx>
        <w:trPr>
          <w:trHeight w:val="500" w:hRule="atLeast"/>
        </w:trPr>
        <w:tc>
          <w:tcPr>
            <w:tcW w:w="317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合作经济与科技</w:t>
            </w:r>
          </w:p>
        </w:tc>
        <w:tc>
          <w:tcPr>
            <w:tcW w:w="2070"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55" w:type="pct"/>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0.083</w:t>
            </w:r>
          </w:p>
        </w:tc>
      </w:tr>
      <w:tr>
        <w:tblPrEx>
          <w:tblCellMar>
            <w:top w:w="0" w:type="dxa"/>
            <w:left w:w="0" w:type="dxa"/>
            <w:bottom w:w="0" w:type="dxa"/>
            <w:right w:w="0" w:type="dxa"/>
          </w:tblCellMar>
        </w:tblPrEx>
        <w:trPr>
          <w:trHeight w:val="500" w:hRule="atLeast"/>
        </w:trPr>
        <w:tc>
          <w:tcPr>
            <w:tcW w:w="317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居舍</w:t>
            </w:r>
          </w:p>
        </w:tc>
        <w:tc>
          <w:tcPr>
            <w:tcW w:w="2070"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55"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rPr>
                <w:rFonts w:hint="eastAsia" w:ascii="仿宋" w:hAnsi="仿宋" w:eastAsia="仿宋" w:cs="仿宋"/>
                <w:i w:val="0"/>
                <w:color w:val="000000"/>
                <w:sz w:val="22"/>
                <w:szCs w:val="22"/>
                <w:u w:val="none"/>
              </w:rPr>
            </w:pPr>
          </w:p>
        </w:tc>
      </w:tr>
      <w:tr>
        <w:tblPrEx>
          <w:tblCellMar>
            <w:top w:w="0" w:type="dxa"/>
            <w:left w:w="0" w:type="dxa"/>
            <w:bottom w:w="0" w:type="dxa"/>
            <w:right w:w="0" w:type="dxa"/>
          </w:tblCellMar>
        </w:tblPrEx>
        <w:trPr>
          <w:trHeight w:val="500" w:hRule="atLeast"/>
        </w:trPr>
        <w:tc>
          <w:tcPr>
            <w:tcW w:w="317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山西建筑</w:t>
            </w:r>
          </w:p>
        </w:tc>
        <w:tc>
          <w:tcPr>
            <w:tcW w:w="2070"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55" w:type="pct"/>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0.049</w:t>
            </w:r>
          </w:p>
        </w:tc>
      </w:tr>
      <w:tr>
        <w:tblPrEx>
          <w:tblCellMar>
            <w:top w:w="0" w:type="dxa"/>
            <w:left w:w="0" w:type="dxa"/>
            <w:bottom w:w="0" w:type="dxa"/>
            <w:right w:w="0" w:type="dxa"/>
          </w:tblCellMar>
        </w:tblPrEx>
        <w:trPr>
          <w:trHeight w:val="500" w:hRule="atLeast"/>
        </w:trPr>
        <w:tc>
          <w:tcPr>
            <w:tcW w:w="317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食品安全导刊</w:t>
            </w:r>
          </w:p>
        </w:tc>
        <w:tc>
          <w:tcPr>
            <w:tcW w:w="2070"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55" w:type="pct"/>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jc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0.280</w:t>
            </w:r>
          </w:p>
        </w:tc>
      </w:tr>
      <w:tr>
        <w:tblPrEx>
          <w:tblCellMar>
            <w:top w:w="0" w:type="dxa"/>
            <w:left w:w="0" w:type="dxa"/>
            <w:bottom w:w="0" w:type="dxa"/>
            <w:right w:w="0" w:type="dxa"/>
          </w:tblCellMar>
        </w:tblPrEx>
        <w:trPr>
          <w:trHeight w:val="500" w:hRule="atLeast"/>
        </w:trPr>
        <w:tc>
          <w:tcPr>
            <w:tcW w:w="317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bookmarkStart w:id="16" w:name="_Toc27178"/>
            <w:bookmarkStart w:id="17" w:name="_Toc9095"/>
            <w:r>
              <w:rPr>
                <w:rFonts w:hint="eastAsia" w:ascii="仿宋" w:hAnsi="仿宋" w:eastAsia="仿宋" w:cs="仿宋"/>
                <w:i w:val="0"/>
                <w:iCs w:val="0"/>
                <w:color w:val="000000"/>
                <w:kern w:val="0"/>
                <w:sz w:val="24"/>
                <w:szCs w:val="24"/>
                <w:u w:val="none"/>
                <w:lang w:val="en-US" w:eastAsia="zh-CN" w:bidi="ar"/>
              </w:rPr>
              <w:t>现代园艺</w:t>
            </w:r>
          </w:p>
        </w:tc>
        <w:tc>
          <w:tcPr>
            <w:tcW w:w="207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855"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bl>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5.学科分析</w:t>
      </w:r>
      <w:bookmarkEnd w:id="16"/>
      <w:bookmarkEnd w:id="17"/>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综合分析2021年第一季度国内公开发表的123篇论文中，分别从属20门学科</w:t>
      </w:r>
      <w:r>
        <w:rPr>
          <w:rFonts w:hint="eastAsia" w:ascii="仿宋" w:hAnsi="仿宋" w:eastAsia="仿宋" w:cs="仿宋"/>
          <w:sz w:val="28"/>
          <w:szCs w:val="28"/>
        </w:rPr>
        <w:t>，其中</w:t>
      </w:r>
      <w:r>
        <w:rPr>
          <w:rFonts w:hint="eastAsia" w:ascii="仿宋" w:hAnsi="仿宋" w:eastAsia="仿宋" w:cs="仿宋"/>
          <w:sz w:val="28"/>
          <w:szCs w:val="28"/>
          <w:lang w:val="en-US" w:eastAsia="zh-CN"/>
        </w:rPr>
        <w:t>园艺、生物学、畜牧与动物医学、数学、计算机软件及计算机技术、高等教育、教育理论与教育管理、植物保护等学科发文超过5篇，园艺学发文量最多，发文14篇，具体情况见表3。</w:t>
      </w: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2"/>
        <w:tblW w:w="5000" w:type="pct"/>
        <w:tblInd w:w="0" w:type="dxa"/>
        <w:shd w:val="clear" w:color="auto" w:fill="auto"/>
        <w:tblLayout w:type="autofit"/>
        <w:tblCellMar>
          <w:top w:w="0" w:type="dxa"/>
          <w:left w:w="0" w:type="dxa"/>
          <w:bottom w:w="0" w:type="dxa"/>
          <w:right w:w="0" w:type="dxa"/>
        </w:tblCellMar>
      </w:tblPr>
      <w:tblGrid>
        <w:gridCol w:w="649"/>
        <w:gridCol w:w="2717"/>
        <w:gridCol w:w="899"/>
        <w:gridCol w:w="705"/>
        <w:gridCol w:w="2507"/>
        <w:gridCol w:w="859"/>
      </w:tblGrid>
      <w:tr>
        <w:tblPrEx>
          <w:shd w:val="clear" w:color="auto" w:fill="auto"/>
          <w:tblCellMar>
            <w:top w:w="0" w:type="dxa"/>
            <w:left w:w="0" w:type="dxa"/>
            <w:bottom w:w="0" w:type="dxa"/>
            <w:right w:w="0" w:type="dxa"/>
          </w:tblCellMar>
        </w:tblPrEx>
        <w:trPr>
          <w:trHeight w:val="585" w:hRule="atLeast"/>
        </w:trPr>
        <w:tc>
          <w:tcPr>
            <w:tcW w:w="389"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629"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39"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423"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503"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15"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271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高等教育</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423"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11</w:t>
            </w:r>
          </w:p>
        </w:tc>
        <w:tc>
          <w:tcPr>
            <w:tcW w:w="250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行政法及地方法治</w:t>
            </w:r>
          </w:p>
        </w:tc>
        <w:tc>
          <w:tcPr>
            <w:tcW w:w="85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27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农业经济</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423"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250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教育理论与教育管理</w:t>
            </w:r>
          </w:p>
        </w:tc>
        <w:tc>
          <w:tcPr>
            <w:tcW w:w="859"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271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轻工业手工业</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2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13</w:t>
            </w:r>
          </w:p>
        </w:tc>
        <w:tc>
          <w:tcPr>
            <w:tcW w:w="250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职业教育</w:t>
            </w:r>
          </w:p>
        </w:tc>
        <w:tc>
          <w:tcPr>
            <w:tcW w:w="85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27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建筑科学与工程</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42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14</w:t>
            </w:r>
          </w:p>
        </w:tc>
        <w:tc>
          <w:tcPr>
            <w:tcW w:w="250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环境科学与环境利用</w:t>
            </w:r>
          </w:p>
        </w:tc>
        <w:tc>
          <w:tcPr>
            <w:tcW w:w="85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71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旅游</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2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15</w:t>
            </w:r>
          </w:p>
        </w:tc>
        <w:tc>
          <w:tcPr>
            <w:tcW w:w="250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化学</w:t>
            </w:r>
          </w:p>
        </w:tc>
        <w:tc>
          <w:tcPr>
            <w:tcW w:w="85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27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畜牧与动物医学</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2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16</w:t>
            </w:r>
          </w:p>
        </w:tc>
        <w:tc>
          <w:tcPr>
            <w:tcW w:w="250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公路与水路运输</w:t>
            </w:r>
          </w:p>
        </w:tc>
        <w:tc>
          <w:tcPr>
            <w:tcW w:w="85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2717" w:type="dxa"/>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体育</w:t>
            </w:r>
          </w:p>
        </w:tc>
        <w:tc>
          <w:tcPr>
            <w:tcW w:w="899" w:type="dxa"/>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23"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17</w:t>
            </w:r>
          </w:p>
        </w:tc>
        <w:tc>
          <w:tcPr>
            <w:tcW w:w="2507" w:type="dxa"/>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农作物</w:t>
            </w:r>
          </w:p>
        </w:tc>
        <w:tc>
          <w:tcPr>
            <w:tcW w:w="859" w:type="dxa"/>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27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蚕蜂与野生动物保护</w:t>
            </w:r>
          </w:p>
        </w:tc>
        <w:tc>
          <w:tcPr>
            <w:tcW w:w="89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2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18</w:t>
            </w:r>
          </w:p>
        </w:tc>
        <w:tc>
          <w:tcPr>
            <w:tcW w:w="250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诉讼法与司法制度</w:t>
            </w:r>
          </w:p>
        </w:tc>
        <w:tc>
          <w:tcPr>
            <w:tcW w:w="85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bookmarkStart w:id="18" w:name="_Toc23516"/>
            <w:bookmarkStart w:id="19" w:name="_Toc28217"/>
            <w:r>
              <w:rPr>
                <w:rFonts w:hint="eastAsia" w:ascii="仿宋" w:hAnsi="仿宋" w:eastAsia="仿宋" w:cs="仿宋"/>
                <w:i w:val="0"/>
                <w:color w:val="000000"/>
                <w:kern w:val="0"/>
                <w:sz w:val="24"/>
                <w:szCs w:val="24"/>
                <w:u w:val="none"/>
                <w:lang w:val="en-US" w:eastAsia="zh-CN" w:bidi="ar"/>
              </w:rPr>
              <w:t>9</w:t>
            </w:r>
          </w:p>
        </w:tc>
        <w:tc>
          <w:tcPr>
            <w:tcW w:w="2717"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计算机软件及计算机技术</w:t>
            </w:r>
          </w:p>
        </w:tc>
        <w:tc>
          <w:tcPr>
            <w:tcW w:w="899"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423"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jc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19</w:t>
            </w:r>
          </w:p>
        </w:tc>
        <w:tc>
          <w:tcPr>
            <w:tcW w:w="2507"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贸易经济</w:t>
            </w:r>
          </w:p>
        </w:tc>
        <w:tc>
          <w:tcPr>
            <w:tcW w:w="859"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27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园艺</w:t>
            </w:r>
          </w:p>
        </w:tc>
        <w:tc>
          <w:tcPr>
            <w:tcW w:w="89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42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20</w:t>
            </w:r>
          </w:p>
        </w:tc>
        <w:tc>
          <w:tcPr>
            <w:tcW w:w="250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海洋学</w:t>
            </w:r>
          </w:p>
        </w:tc>
        <w:tc>
          <w:tcPr>
            <w:tcW w:w="85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bl>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6.作者分析</w:t>
      </w:r>
      <w:bookmarkEnd w:id="18"/>
      <w:bookmarkEnd w:id="19"/>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综合分析2021年第一季度国内公开发表的123篇论文中，发文超过三篇文献的作者有20人，发文量较高的是：徐宁伟、陆冬梅、于宝等；发文2篇以上文献的作者有78人。详情见图4。</w:t>
      </w:r>
    </w:p>
    <w:p>
      <w:pPr>
        <w:spacing w:line="480" w:lineRule="auto"/>
        <w:jc w:val="both"/>
        <w:rPr>
          <w:rFonts w:hint="eastAsia" w:ascii="仿宋" w:hAnsi="仿宋" w:eastAsia="仿宋" w:cs="仿宋"/>
          <w:b/>
          <w:bCs/>
          <w:sz w:val="24"/>
          <w:szCs w:val="24"/>
          <w:lang w:val="en-US" w:eastAsia="zh-CN"/>
        </w:rPr>
      </w:pPr>
    </w:p>
    <w:p>
      <w:pPr>
        <w:spacing w:line="480" w:lineRule="auto"/>
        <w:jc w:val="both"/>
        <w:rPr>
          <w:rFonts w:hint="eastAsia" w:ascii="仿宋" w:hAnsi="仿宋" w:eastAsia="仿宋" w:cs="仿宋"/>
          <w:b/>
          <w:bCs/>
          <w:sz w:val="24"/>
          <w:szCs w:val="24"/>
          <w:lang w:val="en-US" w:eastAsia="zh-CN"/>
        </w:rPr>
      </w:pPr>
    </w:p>
    <w:p>
      <w:pPr>
        <w:spacing w:line="480" w:lineRule="auto"/>
        <w:jc w:val="both"/>
        <w:rPr>
          <w:rFonts w:hint="eastAsia" w:ascii="仿宋" w:hAnsi="仿宋" w:eastAsia="仿宋" w:cs="仿宋"/>
          <w:b/>
          <w:bCs/>
          <w:sz w:val="24"/>
          <w:szCs w:val="24"/>
          <w:lang w:val="en-US" w:eastAsia="zh-CN"/>
        </w:rPr>
      </w:pPr>
    </w:p>
    <w:p>
      <w:pPr>
        <w:spacing w:line="480" w:lineRule="auto"/>
        <w:jc w:val="both"/>
        <w:rPr>
          <w:rFonts w:hint="eastAsia" w:ascii="仿宋" w:hAnsi="仿宋" w:eastAsia="仿宋" w:cs="仿宋"/>
          <w:b/>
          <w:bCs/>
          <w:sz w:val="24"/>
          <w:szCs w:val="24"/>
          <w:lang w:val="en-US" w:eastAsia="zh-CN"/>
        </w:rPr>
      </w:pPr>
    </w:p>
    <w:p>
      <w:pPr>
        <w:spacing w:line="480" w:lineRule="auto"/>
        <w:jc w:val="both"/>
        <w:rPr>
          <w:rFonts w:hint="eastAsia" w:ascii="仿宋" w:hAnsi="仿宋" w:eastAsia="仿宋" w:cs="仿宋"/>
          <w:b/>
          <w:bCs/>
          <w:sz w:val="24"/>
          <w:szCs w:val="24"/>
          <w:lang w:val="en-US" w:eastAsia="zh-CN"/>
        </w:rPr>
      </w:pPr>
    </w:p>
    <w:p>
      <w:pPr>
        <w:spacing w:line="480" w:lineRule="auto"/>
        <w:jc w:val="both"/>
        <w:rPr>
          <w:rFonts w:hint="eastAsia" w:ascii="仿宋" w:hAnsi="仿宋" w:eastAsia="仿宋" w:cs="仿宋"/>
          <w:b/>
          <w:bCs/>
          <w:sz w:val="24"/>
          <w:szCs w:val="24"/>
          <w:lang w:val="en-US" w:eastAsia="zh-CN"/>
        </w:rPr>
      </w:pPr>
    </w:p>
    <w:p>
      <w:p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发文作者分布</w:t>
      </w:r>
    </w:p>
    <w:p>
      <w:pPr>
        <w:spacing w:line="480" w:lineRule="auto"/>
        <w:jc w:val="center"/>
      </w:pPr>
      <w:r>
        <w:drawing>
          <wp:inline distT="0" distB="0" distL="114300" distR="114300">
            <wp:extent cx="4572000" cy="3533140"/>
            <wp:effectExtent l="5080" t="4445" r="13970" b="5715"/>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jc w:val="both"/>
        <w:outlineLvl w:val="1"/>
        <w:rPr>
          <w:rFonts w:hint="eastAsia" w:ascii="仿宋" w:hAnsi="仿宋" w:eastAsia="仿宋" w:cs="仿宋"/>
          <w:b/>
          <w:bCs/>
          <w:sz w:val="30"/>
          <w:szCs w:val="30"/>
          <w:lang w:val="en-US" w:eastAsia="zh-CN"/>
        </w:rPr>
      </w:pPr>
      <w:bookmarkStart w:id="20" w:name="_Toc23809"/>
      <w:bookmarkStart w:id="21" w:name="_Toc27929"/>
    </w:p>
    <w:p>
      <w:pPr>
        <w:numPr>
          <w:ilvl w:val="0"/>
          <w:numId w:val="0"/>
        </w:numPr>
        <w:jc w:val="both"/>
        <w:outlineLvl w:val="1"/>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7.合作单位分析</w:t>
      </w:r>
      <w:bookmarkEnd w:id="20"/>
      <w:bookmarkEnd w:id="21"/>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综合分析2021年第一季度国内公开发表的123篇论文中，合作发文超过2篇的合作单位有10个，其中合作发文最多的是河北省预防兽医学重点实验室和河北农业大学，各合作发文6篇，具体分布见图5。</w:t>
      </w:r>
    </w:p>
    <w:p>
      <w:pPr>
        <w:spacing w:line="480" w:lineRule="auto"/>
        <w:ind w:firstLine="482" w:firstLineChars="200"/>
        <w:jc w:val="center"/>
        <w:rPr>
          <w:rFonts w:hint="eastAsia" w:ascii="仿宋" w:hAnsi="仿宋" w:eastAsia="仿宋" w:cs="仿宋"/>
          <w:b/>
          <w:bCs/>
          <w:sz w:val="24"/>
          <w:szCs w:val="24"/>
          <w:lang w:val="en-US" w:eastAsia="zh-CN"/>
        </w:rPr>
      </w:pPr>
    </w:p>
    <w:p>
      <w:pPr>
        <w:spacing w:line="480" w:lineRule="auto"/>
        <w:ind w:firstLine="482" w:firstLineChars="200"/>
        <w:jc w:val="center"/>
        <w:rPr>
          <w:rFonts w:hint="eastAsia" w:ascii="仿宋" w:hAnsi="仿宋" w:eastAsia="仿宋" w:cs="仿宋"/>
          <w:b/>
          <w:bCs/>
          <w:sz w:val="24"/>
          <w:szCs w:val="24"/>
          <w:lang w:val="en-US" w:eastAsia="zh-CN"/>
        </w:rPr>
      </w:pPr>
    </w:p>
    <w:p>
      <w:pPr>
        <w:spacing w:line="480" w:lineRule="auto"/>
        <w:ind w:firstLine="482" w:firstLineChars="200"/>
        <w:jc w:val="center"/>
        <w:rPr>
          <w:rFonts w:hint="eastAsia" w:ascii="仿宋" w:hAnsi="仿宋" w:eastAsia="仿宋" w:cs="仿宋"/>
          <w:b/>
          <w:bCs/>
          <w:sz w:val="24"/>
          <w:szCs w:val="24"/>
          <w:lang w:val="en-US" w:eastAsia="zh-CN"/>
        </w:rPr>
      </w:pPr>
    </w:p>
    <w:p>
      <w:pPr>
        <w:spacing w:line="480" w:lineRule="auto"/>
        <w:ind w:firstLine="482" w:firstLineChars="200"/>
        <w:jc w:val="center"/>
        <w:rPr>
          <w:rFonts w:hint="eastAsia" w:ascii="仿宋" w:hAnsi="仿宋" w:eastAsia="仿宋" w:cs="仿宋"/>
          <w:b/>
          <w:bCs/>
          <w:sz w:val="24"/>
          <w:szCs w:val="24"/>
          <w:lang w:val="en-US" w:eastAsia="zh-CN"/>
        </w:rPr>
      </w:pPr>
    </w:p>
    <w:p>
      <w:pPr>
        <w:spacing w:line="480" w:lineRule="auto"/>
        <w:ind w:firstLine="482" w:firstLineChars="200"/>
        <w:jc w:val="center"/>
        <w:rPr>
          <w:rFonts w:hint="eastAsia" w:ascii="仿宋" w:hAnsi="仿宋" w:eastAsia="仿宋" w:cs="仿宋"/>
          <w:b/>
          <w:bCs/>
          <w:sz w:val="24"/>
          <w:szCs w:val="24"/>
          <w:lang w:val="en-US" w:eastAsia="zh-CN"/>
        </w:rPr>
      </w:pPr>
    </w:p>
    <w:p>
      <w:pPr>
        <w:spacing w:line="480" w:lineRule="auto"/>
        <w:jc w:val="both"/>
        <w:rPr>
          <w:rFonts w:hint="eastAsia" w:ascii="仿宋" w:hAnsi="仿宋" w:eastAsia="仿宋" w:cs="仿宋"/>
          <w:b/>
          <w:bCs/>
          <w:sz w:val="24"/>
          <w:szCs w:val="24"/>
          <w:lang w:val="en-US" w:eastAsia="zh-CN"/>
        </w:rPr>
      </w:pPr>
    </w:p>
    <w:p>
      <w:p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pPr>
        <w:spacing w:line="480" w:lineRule="auto"/>
        <w:ind w:firstLine="420" w:firstLineChars="200"/>
        <w:jc w:val="both"/>
        <w:rPr>
          <w:rFonts w:hint="eastAsia" w:ascii="仿宋" w:hAnsi="仿宋" w:eastAsia="仿宋" w:cs="仿宋"/>
          <w:b/>
          <w:bCs/>
          <w:color w:val="000000"/>
          <w:kern w:val="0"/>
          <w:sz w:val="24"/>
          <w:szCs w:val="24"/>
          <w:lang w:val="en-US" w:eastAsia="zh-CN" w:bidi="ar"/>
        </w:rPr>
      </w:pPr>
      <w:r>
        <w:rPr>
          <w:rFonts w:hint="eastAsia"/>
          <w:lang w:val="en-US" w:eastAsia="zh-CN"/>
        </w:rPr>
        <w:t xml:space="preserve">  </w:t>
      </w:r>
      <w:r>
        <w:drawing>
          <wp:inline distT="0" distB="0" distL="114300" distR="114300">
            <wp:extent cx="4572000" cy="2774950"/>
            <wp:effectExtent l="4445" t="4445" r="14605" b="2095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jc w:val="both"/>
        <w:outlineLvl w:val="1"/>
        <w:rPr>
          <w:rFonts w:hint="eastAsia" w:ascii="仿宋" w:hAnsi="仿宋" w:eastAsia="仿宋" w:cs="仿宋"/>
          <w:b/>
          <w:bCs/>
          <w:sz w:val="30"/>
          <w:szCs w:val="30"/>
          <w:lang w:val="en-US" w:eastAsia="zh-CN"/>
        </w:rPr>
      </w:pPr>
      <w:bookmarkStart w:id="22" w:name="_Toc28119"/>
      <w:bookmarkStart w:id="23" w:name="_Toc509"/>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8.基金分析</w:t>
      </w:r>
      <w:bookmarkEnd w:id="22"/>
      <w:bookmarkEnd w:id="23"/>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综合分析2021年第一季度国内公开发表的123篇论文中，基金资助超过两篇文章的有37个，其中资助文献最多的基金是河北省自然科学基金，资助发文13篇，下表列举资助篇数超过三篇的基金项目，具体分布见表4。</w:t>
      </w:r>
    </w:p>
    <w:p>
      <w:pPr>
        <w:numPr>
          <w:ilvl w:val="0"/>
          <w:numId w:val="0"/>
        </w:numPr>
        <w:ind w:firstLine="482" w:firstLineChars="200"/>
        <w:jc w:val="center"/>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tbl>
      <w:tblPr>
        <w:tblStyle w:val="2"/>
        <w:tblW w:w="4998" w:type="pct"/>
        <w:tblInd w:w="0" w:type="dxa"/>
        <w:shd w:val="clear" w:color="auto" w:fill="auto"/>
        <w:tblLayout w:type="autofit"/>
        <w:tblCellMar>
          <w:top w:w="0" w:type="dxa"/>
          <w:left w:w="0" w:type="dxa"/>
          <w:bottom w:w="0" w:type="dxa"/>
          <w:right w:w="0" w:type="dxa"/>
        </w:tblCellMar>
      </w:tblPr>
      <w:tblGrid>
        <w:gridCol w:w="815"/>
        <w:gridCol w:w="6331"/>
        <w:gridCol w:w="1187"/>
      </w:tblGrid>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7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1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63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河北省自然科学基金</w:t>
            </w:r>
          </w:p>
        </w:tc>
        <w:tc>
          <w:tcPr>
            <w:tcW w:w="118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6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2020年度河北省社会科学发展研究课题</w:t>
            </w:r>
          </w:p>
        </w:tc>
        <w:tc>
          <w:tcPr>
            <w:tcW w:w="11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63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河北省社会科学基金</w:t>
            </w:r>
          </w:p>
        </w:tc>
        <w:tc>
          <w:tcPr>
            <w:tcW w:w="118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6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河北省重点研发计划基金</w:t>
            </w:r>
          </w:p>
        </w:tc>
        <w:tc>
          <w:tcPr>
            <w:tcW w:w="11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63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国家自然科学基金</w:t>
            </w:r>
          </w:p>
        </w:tc>
        <w:tc>
          <w:tcPr>
            <w:tcW w:w="118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6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国家重点研发计划</w:t>
            </w:r>
          </w:p>
        </w:tc>
        <w:tc>
          <w:tcPr>
            <w:tcW w:w="11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63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河北省高等学校人文社会科学研究</w:t>
            </w:r>
          </w:p>
        </w:tc>
        <w:tc>
          <w:tcPr>
            <w:tcW w:w="118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6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河北省自然科学基金资助</w:t>
            </w:r>
          </w:p>
        </w:tc>
        <w:tc>
          <w:tcPr>
            <w:tcW w:w="11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63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河北科技师范学院海洋科学研究专项</w:t>
            </w:r>
          </w:p>
        </w:tc>
        <w:tc>
          <w:tcPr>
            <w:tcW w:w="118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6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河北科技师范学院教学研究</w:t>
            </w:r>
          </w:p>
        </w:tc>
        <w:tc>
          <w:tcPr>
            <w:tcW w:w="11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63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河北省高等教育教学改革研究与实践</w:t>
            </w:r>
          </w:p>
        </w:tc>
        <w:tc>
          <w:tcPr>
            <w:tcW w:w="118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6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河北科技师范学院博士启动基金</w:t>
            </w:r>
          </w:p>
        </w:tc>
        <w:tc>
          <w:tcPr>
            <w:tcW w:w="11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63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河北省高等学校科学技术研究</w:t>
            </w:r>
          </w:p>
        </w:tc>
        <w:tc>
          <w:tcPr>
            <w:tcW w:w="118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bl>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24" w:name="_Toc22505"/>
      <w:r>
        <w:rPr>
          <w:rFonts w:hint="eastAsia" w:ascii="仿宋" w:hAnsi="仿宋" w:eastAsia="仿宋" w:cs="仿宋"/>
          <w:b/>
          <w:bCs/>
          <w:sz w:val="30"/>
          <w:szCs w:val="30"/>
          <w:lang w:val="en-US" w:eastAsia="zh-CN"/>
        </w:rPr>
        <w:t>9.指标分析</w:t>
      </w:r>
      <w:bookmarkEnd w:id="24"/>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综合分析2021年第一季度国内公开发表论文，文献总数123篇，总参考1208篇文献，篇均参考12.45篇文献；总被引5篇文献，篇均被引0.05篇文献；总下载文献数为7553，篇均下载文献数为77.66。详情参见表5.</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发文指标统计表</w:t>
      </w:r>
    </w:p>
    <w:p>
      <w:pPr>
        <w:numPr>
          <w:ilvl w:val="0"/>
          <w:numId w:val="0"/>
        </w:numPr>
        <w:ind w:firstLine="482" w:firstLineChars="200"/>
        <w:jc w:val="both"/>
        <w:rPr>
          <w:rFonts w:hint="default" w:ascii="仿宋" w:hAnsi="仿宋" w:eastAsia="仿宋" w:cs="仿宋"/>
          <w:b/>
          <w:bCs/>
          <w:color w:val="000000"/>
          <w:kern w:val="0"/>
          <w:sz w:val="24"/>
          <w:szCs w:val="24"/>
          <w:lang w:val="en-US" w:eastAsia="zh-CN" w:bidi="ar"/>
        </w:rPr>
      </w:pPr>
    </w:p>
    <w:tbl>
      <w:tblPr>
        <w:tblStyle w:val="2"/>
        <w:tblW w:w="4997" w:type="pct"/>
        <w:jc w:val="center"/>
        <w:shd w:val="clear" w:color="auto" w:fill="auto"/>
        <w:tblLayout w:type="autofit"/>
        <w:tblCellMar>
          <w:top w:w="0" w:type="dxa"/>
          <w:left w:w="0" w:type="dxa"/>
          <w:bottom w:w="0" w:type="dxa"/>
          <w:right w:w="0" w:type="dxa"/>
        </w:tblCellMar>
      </w:tblPr>
      <w:tblGrid>
        <w:gridCol w:w="842"/>
        <w:gridCol w:w="1112"/>
        <w:gridCol w:w="1112"/>
        <w:gridCol w:w="1112"/>
        <w:gridCol w:w="1384"/>
        <w:gridCol w:w="1384"/>
        <w:gridCol w:w="1385"/>
      </w:tblGrid>
      <w:tr>
        <w:tblPrEx>
          <w:shd w:val="clear" w:color="auto" w:fill="auto"/>
          <w:tblCellMar>
            <w:top w:w="0" w:type="dxa"/>
            <w:left w:w="0" w:type="dxa"/>
            <w:bottom w:w="0" w:type="dxa"/>
            <w:right w:w="0" w:type="dxa"/>
          </w:tblCellMar>
        </w:tblPrEx>
        <w:trPr>
          <w:trHeight w:val="6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总参考数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总被引数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总下载数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篇均参考数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篇均被引数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篇均下载数</w:t>
            </w:r>
          </w:p>
        </w:tc>
      </w:tr>
      <w:tr>
        <w:tblPrEx>
          <w:tblCellMar>
            <w:top w:w="0" w:type="dxa"/>
            <w:left w:w="0" w:type="dxa"/>
            <w:bottom w:w="0" w:type="dxa"/>
            <w:right w:w="0" w:type="dxa"/>
          </w:tblCellMar>
        </w:tblPrEx>
        <w:trPr>
          <w:trHeight w:val="58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ind w:firstLine="240" w:firstLineChars="100"/>
              <w:jc w:val="left"/>
              <w:textAlignment w:val="center"/>
              <w:rPr>
                <w:rFonts w:hint="default" w:ascii="仿宋" w:hAnsi="仿宋" w:eastAsia="仿宋" w:cs="仿宋"/>
                <w:i w:val="0"/>
                <w:color w:val="555555"/>
                <w:sz w:val="24"/>
                <w:szCs w:val="24"/>
                <w:u w:val="none"/>
                <w:lang w:val="en-US"/>
              </w:rPr>
            </w:pPr>
            <w:r>
              <w:rPr>
                <w:rFonts w:hint="eastAsia" w:ascii="仿宋" w:hAnsi="仿宋" w:eastAsia="仿宋" w:cs="仿宋"/>
                <w:i w:val="0"/>
                <w:color w:val="555555"/>
                <w:kern w:val="0"/>
                <w:sz w:val="24"/>
                <w:szCs w:val="24"/>
                <w:u w:val="none"/>
                <w:lang w:val="en-US" w:eastAsia="zh-CN" w:bidi="ar"/>
              </w:rPr>
              <w:t>123</w:t>
            </w:r>
          </w:p>
        </w:tc>
        <w:tc>
          <w:tcPr>
            <w:tcW w:w="66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ind w:firstLineChars="100"/>
              <w:jc w:val="both"/>
              <w:textAlignment w:val="center"/>
              <w:rPr>
                <w:rFonts w:hint="default" w:ascii="仿宋" w:hAnsi="仿宋" w:eastAsia="仿宋" w:cs="仿宋"/>
                <w:i w:val="0"/>
                <w:color w:val="555555"/>
                <w:sz w:val="24"/>
                <w:szCs w:val="24"/>
                <w:u w:val="none"/>
                <w:lang w:val="en-US"/>
              </w:rPr>
            </w:pPr>
            <w:r>
              <w:rPr>
                <w:rFonts w:hint="eastAsia" w:ascii="仿宋" w:hAnsi="仿宋" w:eastAsia="仿宋" w:cs="仿宋"/>
                <w:i w:val="0"/>
                <w:color w:val="555555"/>
                <w:kern w:val="0"/>
                <w:sz w:val="24"/>
                <w:szCs w:val="24"/>
                <w:u w:val="none"/>
                <w:lang w:val="en-US" w:eastAsia="zh-CN" w:bidi="ar"/>
              </w:rPr>
              <w:t>1312</w:t>
            </w:r>
          </w:p>
        </w:tc>
        <w:tc>
          <w:tcPr>
            <w:tcW w:w="66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ind w:firstLine="480" w:firstLineChars="200"/>
              <w:jc w:val="both"/>
              <w:textAlignment w:val="center"/>
              <w:rPr>
                <w:rFonts w:hint="eastAsia" w:ascii="仿宋" w:hAnsi="仿宋" w:eastAsia="仿宋" w:cs="仿宋"/>
                <w:i w:val="0"/>
                <w:color w:val="555555"/>
                <w:sz w:val="24"/>
                <w:szCs w:val="24"/>
                <w:u w:val="none"/>
                <w:lang w:val="en-US" w:eastAsia="zh-CN"/>
              </w:rPr>
            </w:pPr>
            <w:r>
              <w:rPr>
                <w:rFonts w:hint="eastAsia" w:ascii="仿宋" w:hAnsi="仿宋" w:eastAsia="仿宋" w:cs="仿宋"/>
                <w:i w:val="0"/>
                <w:color w:val="555555"/>
                <w:sz w:val="24"/>
                <w:szCs w:val="24"/>
                <w:u w:val="none"/>
                <w:lang w:val="en-US" w:eastAsia="zh-CN"/>
              </w:rPr>
              <w:t>5</w:t>
            </w:r>
          </w:p>
        </w:tc>
        <w:tc>
          <w:tcPr>
            <w:tcW w:w="66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ind w:firstLine="240" w:firstLineChars="100"/>
              <w:jc w:val="both"/>
              <w:textAlignment w:val="center"/>
              <w:rPr>
                <w:rFonts w:hint="default" w:ascii="仿宋" w:hAnsi="仿宋" w:eastAsia="仿宋" w:cs="仿宋"/>
                <w:i w:val="0"/>
                <w:color w:val="555555"/>
                <w:sz w:val="24"/>
                <w:szCs w:val="24"/>
                <w:u w:val="none"/>
                <w:lang w:val="en-US"/>
              </w:rPr>
            </w:pPr>
            <w:r>
              <w:rPr>
                <w:rFonts w:hint="eastAsia" w:ascii="仿宋" w:hAnsi="仿宋" w:eastAsia="仿宋" w:cs="仿宋"/>
                <w:i w:val="0"/>
                <w:color w:val="555555"/>
                <w:kern w:val="0"/>
                <w:sz w:val="24"/>
                <w:szCs w:val="24"/>
                <w:u w:val="none"/>
                <w:lang w:val="en-US" w:eastAsia="zh-CN" w:bidi="ar"/>
              </w:rPr>
              <w:t>10468</w:t>
            </w:r>
          </w:p>
        </w:tc>
        <w:tc>
          <w:tcPr>
            <w:tcW w:w="8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ind w:firstLine="240" w:firstLineChars="100"/>
              <w:jc w:val="both"/>
              <w:textAlignment w:val="center"/>
              <w:rPr>
                <w:rFonts w:hint="default" w:ascii="仿宋" w:hAnsi="仿宋" w:eastAsia="仿宋" w:cs="仿宋"/>
                <w:i w:val="0"/>
                <w:color w:val="555555"/>
                <w:sz w:val="24"/>
                <w:szCs w:val="24"/>
                <w:u w:val="none"/>
                <w:lang w:val="en-US"/>
              </w:rPr>
            </w:pPr>
            <w:r>
              <w:rPr>
                <w:rFonts w:hint="eastAsia" w:ascii="仿宋" w:hAnsi="仿宋" w:eastAsia="仿宋" w:cs="仿宋"/>
                <w:i w:val="0"/>
                <w:color w:val="555555"/>
                <w:kern w:val="0"/>
                <w:sz w:val="24"/>
                <w:szCs w:val="24"/>
                <w:u w:val="none"/>
                <w:lang w:val="en-US" w:eastAsia="zh-CN" w:bidi="ar"/>
              </w:rPr>
              <w:t>10.67</w:t>
            </w:r>
          </w:p>
        </w:tc>
        <w:tc>
          <w:tcPr>
            <w:tcW w:w="8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ind w:firstLine="240" w:firstLineChars="100"/>
              <w:jc w:val="both"/>
              <w:textAlignment w:val="center"/>
              <w:rPr>
                <w:rFonts w:hint="eastAsia" w:ascii="仿宋" w:hAnsi="仿宋" w:eastAsia="仿宋" w:cs="仿宋"/>
                <w:i w:val="0"/>
                <w:color w:val="555555"/>
                <w:sz w:val="24"/>
                <w:szCs w:val="24"/>
                <w:u w:val="none"/>
              </w:rPr>
            </w:pPr>
            <w:r>
              <w:rPr>
                <w:rFonts w:hint="eastAsia" w:ascii="仿宋" w:hAnsi="仿宋" w:eastAsia="仿宋" w:cs="仿宋"/>
                <w:i w:val="0"/>
                <w:color w:val="555555"/>
                <w:kern w:val="0"/>
                <w:sz w:val="24"/>
                <w:szCs w:val="24"/>
                <w:u w:val="none"/>
                <w:lang w:val="en-US" w:eastAsia="zh-CN" w:bidi="ar"/>
              </w:rPr>
              <w:t>0.04</w:t>
            </w:r>
          </w:p>
        </w:tc>
        <w:tc>
          <w:tcPr>
            <w:tcW w:w="8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ind w:firstLine="240" w:firstLineChars="100"/>
              <w:jc w:val="both"/>
              <w:textAlignment w:val="center"/>
              <w:rPr>
                <w:rFonts w:hint="default" w:ascii="仿宋" w:hAnsi="仿宋" w:eastAsia="仿宋" w:cs="仿宋"/>
                <w:i w:val="0"/>
                <w:color w:val="555555"/>
                <w:sz w:val="24"/>
                <w:szCs w:val="24"/>
                <w:u w:val="none"/>
                <w:lang w:val="en-US"/>
              </w:rPr>
            </w:pPr>
            <w:r>
              <w:rPr>
                <w:rFonts w:hint="eastAsia" w:ascii="仿宋" w:hAnsi="仿宋" w:eastAsia="仿宋" w:cs="仿宋"/>
                <w:i w:val="0"/>
                <w:color w:val="555555"/>
                <w:kern w:val="0"/>
                <w:sz w:val="24"/>
                <w:szCs w:val="24"/>
                <w:u w:val="none"/>
                <w:lang w:val="en-US" w:eastAsia="zh-CN" w:bidi="ar"/>
              </w:rPr>
              <w:t>85.11</w:t>
            </w:r>
          </w:p>
        </w:tc>
      </w:tr>
    </w:tbl>
    <w:p>
      <w:pPr>
        <w:numPr>
          <w:ilvl w:val="0"/>
          <w:numId w:val="0"/>
        </w:numPr>
        <w:jc w:val="both"/>
        <w:outlineLvl w:val="9"/>
        <w:rPr>
          <w:rFonts w:hint="eastAsia" w:ascii="黑体" w:hAnsi="黑体" w:eastAsia="黑体" w:cs="黑体"/>
          <w:b/>
          <w:bCs/>
          <w:sz w:val="30"/>
          <w:szCs w:val="30"/>
          <w:lang w:val="en-US" w:eastAsia="zh-CN"/>
        </w:rPr>
      </w:pPr>
      <w:bookmarkStart w:id="25" w:name="_Toc25917"/>
    </w:p>
    <w:p>
      <w:pPr>
        <w:numPr>
          <w:ilvl w:val="0"/>
          <w:numId w:val="0"/>
        </w:numPr>
        <w:jc w:val="both"/>
        <w:outlineLvl w:val="0"/>
        <w:rPr>
          <w:rFonts w:hint="eastAsia" w:ascii="黑体" w:hAnsi="黑体" w:eastAsia="黑体" w:cs="黑体"/>
          <w:b/>
          <w:bCs/>
          <w:sz w:val="30"/>
          <w:szCs w:val="30"/>
          <w:lang w:val="en-US" w:eastAsia="zh-CN"/>
        </w:rPr>
      </w:pPr>
      <w:bookmarkStart w:id="26" w:name="_Toc30657"/>
      <w:r>
        <w:rPr>
          <w:rFonts w:hint="eastAsia" w:ascii="黑体" w:hAnsi="黑体" w:eastAsia="黑体" w:cs="黑体"/>
          <w:b/>
          <w:bCs/>
          <w:sz w:val="32"/>
          <w:szCs w:val="32"/>
          <w:lang w:val="en-US" w:eastAsia="zh-CN"/>
        </w:rPr>
        <w:t>二、外文发文情况统计分析</w:t>
      </w:r>
      <w:bookmarkEnd w:id="25"/>
      <w:bookmarkEnd w:id="26"/>
    </w:p>
    <w:p>
      <w:pPr>
        <w:numPr>
          <w:ilvl w:val="0"/>
          <w:numId w:val="0"/>
        </w:numPr>
        <w:jc w:val="both"/>
        <w:outlineLvl w:val="1"/>
        <w:rPr>
          <w:rFonts w:hint="eastAsia" w:ascii="仿宋" w:hAnsi="仿宋" w:eastAsia="仿宋" w:cs="仿宋"/>
          <w:b/>
          <w:bCs/>
          <w:sz w:val="30"/>
          <w:szCs w:val="30"/>
          <w:lang w:val="en-US" w:eastAsia="zh-CN"/>
        </w:rPr>
      </w:pPr>
      <w:bookmarkStart w:id="27" w:name="_Toc4689"/>
      <w:bookmarkStart w:id="28" w:name="_Toc21827"/>
      <w:r>
        <w:rPr>
          <w:rFonts w:hint="eastAsia" w:ascii="仿宋" w:hAnsi="仿宋" w:eastAsia="仿宋" w:cs="仿宋"/>
          <w:b/>
          <w:bCs/>
          <w:sz w:val="30"/>
          <w:szCs w:val="30"/>
          <w:lang w:val="en-US" w:eastAsia="zh-CN"/>
        </w:rPr>
        <w:t>1.发文量分析</w:t>
      </w:r>
      <w:bookmarkEnd w:id="27"/>
      <w:bookmarkEnd w:id="28"/>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w:t>
      </w:r>
      <w:r>
        <w:rPr>
          <w:rFonts w:hint="eastAsia" w:ascii="仿宋" w:hAnsi="仿宋" w:eastAsia="仿宋" w:cs="仿宋"/>
          <w:sz w:val="28"/>
          <w:szCs w:val="28"/>
          <w:lang w:val="en-US" w:eastAsia="zh-CN"/>
        </w:rPr>
        <w:t>Web of Science</w:t>
      </w:r>
      <w:r>
        <w:rPr>
          <w:rFonts w:hint="eastAsia" w:ascii="仿宋" w:hAnsi="仿宋" w:eastAsia="仿宋" w:cs="仿宋"/>
          <w:sz w:val="28"/>
          <w:szCs w:val="28"/>
        </w:rPr>
        <w:t>（</w:t>
      </w:r>
      <w:r>
        <w:rPr>
          <w:rFonts w:hint="eastAsia" w:ascii="仿宋" w:hAnsi="仿宋" w:eastAsia="仿宋" w:cs="仿宋"/>
          <w:sz w:val="28"/>
          <w:szCs w:val="28"/>
          <w:lang w:val="en-US" w:eastAsia="zh-CN"/>
        </w:rPr>
        <w:t>WOS</w:t>
      </w:r>
      <w:r>
        <w:rPr>
          <w:rFonts w:hint="eastAsia" w:ascii="仿宋" w:hAnsi="仿宋" w:eastAsia="仿宋" w:cs="仿宋"/>
          <w:sz w:val="28"/>
          <w:szCs w:val="28"/>
        </w:rPr>
        <w:t>）检索，在</w:t>
      </w:r>
      <w:r>
        <w:rPr>
          <w:rFonts w:hint="eastAsia" w:ascii="仿宋" w:hAnsi="仿宋" w:eastAsia="仿宋" w:cs="仿宋"/>
          <w:sz w:val="28"/>
          <w:szCs w:val="28"/>
          <w:lang w:eastAsia="zh-CN"/>
        </w:rPr>
        <w:t>2021</w:t>
      </w:r>
      <w:r>
        <w:rPr>
          <w:rFonts w:hint="eastAsia" w:ascii="仿宋" w:hAnsi="仿宋" w:eastAsia="仿宋" w:cs="仿宋"/>
          <w:sz w:val="28"/>
          <w:szCs w:val="28"/>
          <w:lang w:val="en-US" w:eastAsia="zh-CN"/>
        </w:rPr>
        <w:t>年第一季度</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33</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11</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7</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21.21</w:t>
      </w:r>
      <w:r>
        <w:rPr>
          <w:rFonts w:hint="eastAsia" w:ascii="仿宋" w:hAnsi="仿宋" w:eastAsia="仿宋" w:cs="仿宋"/>
          <w:sz w:val="28"/>
          <w:szCs w:val="28"/>
        </w:rPr>
        <w:t xml:space="preserve"> %。（见表</w:t>
      </w:r>
      <w:r>
        <w:rPr>
          <w:rFonts w:hint="eastAsia" w:ascii="仿宋" w:hAnsi="仿宋" w:eastAsia="仿宋" w:cs="仿宋"/>
          <w:sz w:val="28"/>
          <w:szCs w:val="28"/>
          <w:lang w:val="en-US" w:eastAsia="zh-CN"/>
        </w:rPr>
        <w:t>6</w:t>
      </w:r>
      <w:r>
        <w:rPr>
          <w:rFonts w:hint="eastAsia" w:ascii="仿宋" w:hAnsi="仿宋" w:eastAsia="仿宋" w:cs="仿宋"/>
          <w:sz w:val="28"/>
          <w:szCs w:val="28"/>
        </w:rPr>
        <w:t>）。</w:t>
      </w:r>
    </w:p>
    <w:p>
      <w:pPr>
        <w:spacing w:line="480" w:lineRule="auto"/>
        <w:ind w:firstLine="560" w:firstLineChars="200"/>
        <w:rPr>
          <w:rFonts w:hint="eastAsia" w:ascii="仿宋" w:hAnsi="仿宋" w:eastAsia="仿宋" w:cs="仿宋"/>
          <w:sz w:val="28"/>
          <w:szCs w:val="28"/>
        </w:rPr>
      </w:pPr>
    </w:p>
    <w:p>
      <w:pPr>
        <w:spacing w:line="480" w:lineRule="auto"/>
        <w:ind w:firstLine="560" w:firstLineChars="200"/>
        <w:rPr>
          <w:rFonts w:hint="eastAsia" w:ascii="仿宋" w:hAnsi="仿宋" w:eastAsia="仿宋" w:cs="仿宋"/>
          <w:sz w:val="28"/>
          <w:szCs w:val="28"/>
        </w:rPr>
      </w:pP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2021年第一季度国外</w:t>
      </w:r>
      <w:r>
        <w:rPr>
          <w:rFonts w:hint="eastAsia" w:ascii="仿宋" w:hAnsi="仿宋" w:eastAsia="仿宋" w:cs="仿宋"/>
          <w:b/>
          <w:bCs/>
          <w:color w:val="000000"/>
          <w:kern w:val="0"/>
          <w:sz w:val="24"/>
          <w:szCs w:val="24"/>
          <w:lang w:bidi="ar"/>
        </w:rPr>
        <w:t>期刊发文情况统计表</w:t>
      </w:r>
    </w:p>
    <w:tbl>
      <w:tblPr>
        <w:tblStyle w:val="2"/>
        <w:tblW w:w="4998" w:type="pct"/>
        <w:jc w:val="center"/>
        <w:tblLayout w:type="autofit"/>
        <w:tblCellMar>
          <w:top w:w="15" w:type="dxa"/>
          <w:left w:w="15" w:type="dxa"/>
          <w:bottom w:w="15" w:type="dxa"/>
          <w:right w:w="15" w:type="dxa"/>
        </w:tblCellMar>
      </w:tblPr>
      <w:tblGrid>
        <w:gridCol w:w="2643"/>
        <w:gridCol w:w="2699"/>
        <w:gridCol w:w="2991"/>
      </w:tblGrid>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2021年1月</w:t>
            </w:r>
          </w:p>
        </w:tc>
        <w:tc>
          <w:tcPr>
            <w:tcW w:w="1619"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19</w:t>
            </w:r>
          </w:p>
        </w:tc>
        <w:tc>
          <w:tcPr>
            <w:tcW w:w="1794"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2021年2月</w:t>
            </w:r>
          </w:p>
        </w:tc>
        <w:tc>
          <w:tcPr>
            <w:tcW w:w="161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8</w:t>
            </w:r>
          </w:p>
        </w:tc>
        <w:tc>
          <w:tcPr>
            <w:tcW w:w="1794"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val="en-US" w:eastAsia="zh-CN" w:bidi="ar"/>
              </w:rPr>
              <w:t>3</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2021年3月</w:t>
            </w:r>
          </w:p>
        </w:tc>
        <w:tc>
          <w:tcPr>
            <w:tcW w:w="1619"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w:t>
            </w:r>
          </w:p>
        </w:tc>
        <w:tc>
          <w:tcPr>
            <w:tcW w:w="1794"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1619"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33</w:t>
            </w:r>
          </w:p>
        </w:tc>
        <w:tc>
          <w:tcPr>
            <w:tcW w:w="1794"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7</w:t>
            </w:r>
          </w:p>
        </w:tc>
      </w:tr>
    </w:tbl>
    <w:p>
      <w:pPr>
        <w:numPr>
          <w:ilvl w:val="0"/>
          <w:numId w:val="0"/>
        </w:numPr>
        <w:jc w:val="both"/>
        <w:outlineLvl w:val="1"/>
        <w:rPr>
          <w:rFonts w:hint="eastAsia" w:ascii="仿宋" w:hAnsi="仿宋" w:eastAsia="仿宋" w:cs="仿宋"/>
          <w:b/>
          <w:bCs/>
          <w:sz w:val="30"/>
          <w:szCs w:val="30"/>
          <w:lang w:val="en-US" w:eastAsia="zh-CN"/>
        </w:rPr>
      </w:pPr>
      <w:bookmarkStart w:id="29" w:name="_Toc24142"/>
      <w:bookmarkStart w:id="30" w:name="_Toc16394"/>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2.学科分析</w:t>
      </w:r>
      <w:bookmarkEnd w:id="29"/>
      <w:bookmarkEnd w:id="30"/>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的33</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发文较多的学科列表见表7，其中</w:t>
      </w:r>
      <w:r>
        <w:rPr>
          <w:rFonts w:hint="eastAsia" w:ascii="仿宋" w:hAnsi="仿宋" w:eastAsia="仿宋" w:cs="仿宋"/>
          <w:i w:val="0"/>
          <w:iCs w:val="0"/>
          <w:color w:val="000000"/>
          <w:kern w:val="0"/>
          <w:sz w:val="22"/>
          <w:szCs w:val="22"/>
          <w:u w:val="none"/>
          <w:lang w:val="en-US" w:eastAsia="zh-CN" w:bidi="ar"/>
        </w:rPr>
        <w:t>Chemistry, Physical</w:t>
      </w:r>
      <w:r>
        <w:rPr>
          <w:rFonts w:hint="eastAsia" w:ascii="仿宋" w:hAnsi="仿宋" w:eastAsia="仿宋" w:cs="仿宋"/>
          <w:i w:val="0"/>
          <w:iCs w:val="0"/>
          <w:color w:val="000000"/>
          <w:kern w:val="0"/>
          <w:sz w:val="28"/>
          <w:szCs w:val="28"/>
          <w:u w:val="none"/>
          <w:lang w:val="en-US" w:eastAsia="zh-CN" w:bidi="ar"/>
        </w:rPr>
        <w:t>和</w:t>
      </w:r>
      <w:r>
        <w:rPr>
          <w:rFonts w:hint="eastAsia" w:ascii="仿宋" w:hAnsi="仿宋" w:eastAsia="仿宋" w:cs="仿宋"/>
          <w:i w:val="0"/>
          <w:iCs w:val="0"/>
          <w:color w:val="000000"/>
          <w:kern w:val="0"/>
          <w:sz w:val="22"/>
          <w:szCs w:val="22"/>
          <w:u w:val="none"/>
          <w:lang w:val="en-US" w:eastAsia="zh-CN" w:bidi="ar"/>
        </w:rPr>
        <w:t>Materials Science, Multidisciplinary</w:t>
      </w:r>
      <w:r>
        <w:rPr>
          <w:rFonts w:hint="eastAsia" w:ascii="仿宋" w:hAnsi="仿宋" w:eastAsia="仿宋" w:cs="仿宋"/>
          <w:sz w:val="28"/>
          <w:szCs w:val="28"/>
          <w:lang w:val="en-US" w:eastAsia="zh-CN"/>
        </w:rPr>
        <w:t>学科各发文4篇，为最多发文学科。</w:t>
      </w:r>
    </w:p>
    <w:p>
      <w:pPr>
        <w:spacing w:line="480" w:lineRule="auto"/>
        <w:ind w:firstLine="482" w:firstLineChars="200"/>
        <w:jc w:val="center"/>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2"/>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Chemistry, Physical</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Materials Science,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Chemistry, Inorganic &amp; Nuclear</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Telecommunications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Biotechnology &amp; Applied Microbiology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Chemistry,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Computer Science, Information Systems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Engineering, Electrical &amp; Electronic</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10</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Engineering, Environmental</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Environmental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12</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bl>
    <w:p>
      <w:pPr>
        <w:numPr>
          <w:ilvl w:val="0"/>
          <w:numId w:val="0"/>
        </w:numPr>
        <w:ind w:leftChars="0"/>
        <w:jc w:val="both"/>
        <w:outlineLvl w:val="9"/>
        <w:rPr>
          <w:rFonts w:hint="eastAsia" w:ascii="仿宋" w:hAnsi="仿宋" w:eastAsia="仿宋" w:cs="仿宋"/>
          <w:b/>
          <w:bCs/>
          <w:sz w:val="30"/>
          <w:szCs w:val="30"/>
          <w:lang w:val="en-US" w:eastAsia="zh-CN"/>
        </w:rPr>
      </w:pPr>
      <w:bookmarkStart w:id="31" w:name="_Toc14746"/>
    </w:p>
    <w:p>
      <w:pPr>
        <w:numPr>
          <w:ilvl w:val="0"/>
          <w:numId w:val="0"/>
        </w:numPr>
        <w:ind w:leftChars="0"/>
        <w:jc w:val="both"/>
        <w:outlineLvl w:val="1"/>
        <w:rPr>
          <w:rFonts w:hint="eastAsia" w:ascii="仿宋" w:hAnsi="仿宋" w:eastAsia="仿宋" w:cs="仿宋"/>
          <w:b/>
          <w:bCs/>
          <w:sz w:val="30"/>
          <w:szCs w:val="30"/>
          <w:lang w:val="en-US" w:eastAsia="zh-CN"/>
        </w:rPr>
      </w:pPr>
      <w:bookmarkStart w:id="32" w:name="_Toc1663"/>
      <w:r>
        <w:rPr>
          <w:rFonts w:hint="eastAsia" w:ascii="仿宋" w:hAnsi="仿宋" w:eastAsia="仿宋" w:cs="仿宋"/>
          <w:b/>
          <w:bCs/>
          <w:sz w:val="30"/>
          <w:szCs w:val="30"/>
          <w:lang w:val="en-US" w:eastAsia="zh-CN"/>
        </w:rPr>
        <w:t>3.研究方向分析</w:t>
      </w:r>
      <w:bookmarkEnd w:id="31"/>
      <w:bookmarkEnd w:id="32"/>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综合分析2021年第一季度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的33</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发文较多的研究方向见表8，其中</w:t>
      </w:r>
      <w:r>
        <w:rPr>
          <w:rFonts w:hint="eastAsia" w:ascii="仿宋" w:hAnsi="仿宋" w:eastAsia="仿宋" w:cs="仿宋"/>
          <w:i w:val="0"/>
          <w:color w:val="000000"/>
          <w:kern w:val="0"/>
          <w:sz w:val="22"/>
          <w:szCs w:val="22"/>
          <w:u w:val="none"/>
          <w:lang w:val="en-US" w:eastAsia="zh-CN" w:bidi="ar"/>
        </w:rPr>
        <w:t>Chemistry</w:t>
      </w:r>
      <w:r>
        <w:rPr>
          <w:rFonts w:hint="eastAsia" w:ascii="仿宋" w:hAnsi="仿宋" w:eastAsia="仿宋" w:cs="仿宋"/>
          <w:sz w:val="28"/>
          <w:szCs w:val="28"/>
          <w:lang w:val="en-US" w:eastAsia="zh-CN"/>
        </w:rPr>
        <w:t>研究方向发文9篇，为最多研究方向。</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2"/>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Chemistry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Engineering</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Materials Science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Science &amp; Technology - Other Topics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Telecommunications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Agriculture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Biotechnology &amp; Applied Microbiology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Computer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10</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Environmental Sciences &amp; Ecology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Mathematics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Physics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33" w:name="_Toc32538"/>
      <w:bookmarkStart w:id="34" w:name="_Toc11441"/>
      <w:r>
        <w:rPr>
          <w:rFonts w:hint="eastAsia" w:ascii="仿宋" w:hAnsi="仿宋" w:eastAsia="仿宋" w:cs="仿宋"/>
          <w:b/>
          <w:bCs/>
          <w:sz w:val="30"/>
          <w:szCs w:val="30"/>
          <w:lang w:val="en-US" w:eastAsia="zh-CN"/>
        </w:rPr>
        <w:t>4.文献来源分析</w:t>
      </w:r>
      <w:bookmarkEnd w:id="33"/>
      <w:bookmarkEnd w:id="34"/>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的33</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文献来源共计32种，发文超过两篇的期刊共一种（详见表9），</w:t>
      </w:r>
      <w:r>
        <w:rPr>
          <w:rFonts w:hint="default" w:ascii="Calibri" w:hAnsi="Calibri" w:eastAsia="宋体" w:cs="Calibri"/>
          <w:i w:val="0"/>
          <w:color w:val="000000"/>
          <w:kern w:val="0"/>
          <w:sz w:val="24"/>
          <w:szCs w:val="24"/>
          <w:u w:val="none"/>
          <w:lang w:val="en-US" w:eastAsia="zh-CN" w:bidi="ar"/>
        </w:rPr>
        <w:t>JOURNAL OF MOLECULAR STRUCTURE</w:t>
      </w:r>
      <w:r>
        <w:rPr>
          <w:rFonts w:hint="eastAsia" w:ascii="仿宋" w:hAnsi="仿宋" w:eastAsia="仿宋" w:cs="仿宋"/>
          <w:sz w:val="28"/>
          <w:szCs w:val="28"/>
          <w:lang w:val="en-US" w:eastAsia="zh-CN"/>
        </w:rPr>
        <w:t>，为最多发文期刊。</w:t>
      </w: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2"/>
        <w:tblW w:w="4998" w:type="pct"/>
        <w:tblInd w:w="0" w:type="dxa"/>
        <w:shd w:val="clear" w:color="auto" w:fill="auto"/>
        <w:tblLayout w:type="autofit"/>
        <w:tblCellMar>
          <w:top w:w="0" w:type="dxa"/>
          <w:left w:w="0" w:type="dxa"/>
          <w:bottom w:w="0" w:type="dxa"/>
          <w:right w:w="0" w:type="dxa"/>
        </w:tblCellMar>
      </w:tblPr>
      <w:tblGrid>
        <w:gridCol w:w="1205"/>
        <w:gridCol w:w="3991"/>
        <w:gridCol w:w="1454"/>
        <w:gridCol w:w="1683"/>
      </w:tblGrid>
      <w:tr>
        <w:tblPrEx>
          <w:shd w:val="clear" w:color="auto" w:fill="auto"/>
          <w:tblCellMar>
            <w:top w:w="0" w:type="dxa"/>
            <w:left w:w="0" w:type="dxa"/>
            <w:bottom w:w="0" w:type="dxa"/>
            <w:right w:w="0" w:type="dxa"/>
          </w:tblCellMar>
        </w:tblPrEx>
        <w:trPr>
          <w:trHeight w:val="500" w:hRule="atLeast"/>
        </w:trPr>
        <w:tc>
          <w:tcPr>
            <w:tcW w:w="72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23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87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100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r>
      <w:tr>
        <w:tblPrEx>
          <w:shd w:val="clear" w:color="auto" w:fill="auto"/>
          <w:tblCellMar>
            <w:top w:w="0" w:type="dxa"/>
            <w:left w:w="0" w:type="dxa"/>
            <w:bottom w:w="0" w:type="dxa"/>
            <w:right w:w="0" w:type="dxa"/>
          </w:tblCellMar>
        </w:tblPrEx>
        <w:trPr>
          <w:trHeight w:val="500" w:hRule="atLeast"/>
        </w:trPr>
        <w:tc>
          <w:tcPr>
            <w:tcW w:w="72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39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JOURNAL OF MOLECULAR STRUCTURE</w:t>
            </w:r>
          </w:p>
        </w:tc>
        <w:tc>
          <w:tcPr>
            <w:tcW w:w="87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100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2.463</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3"/>
        </w:numPr>
        <w:jc w:val="both"/>
        <w:outlineLvl w:val="1"/>
        <w:rPr>
          <w:rFonts w:hint="eastAsia" w:ascii="仿宋" w:hAnsi="仿宋" w:eastAsia="仿宋" w:cs="仿宋"/>
          <w:b/>
          <w:bCs/>
          <w:sz w:val="30"/>
          <w:szCs w:val="30"/>
          <w:lang w:val="en-US" w:eastAsia="zh-CN"/>
        </w:rPr>
      </w:pPr>
      <w:bookmarkStart w:id="35" w:name="_Toc10459"/>
      <w:bookmarkStart w:id="36" w:name="_Toc25500"/>
      <w:r>
        <w:rPr>
          <w:rFonts w:hint="eastAsia" w:ascii="仿宋" w:hAnsi="仿宋" w:eastAsia="仿宋" w:cs="仿宋"/>
          <w:b/>
          <w:bCs/>
          <w:sz w:val="30"/>
          <w:szCs w:val="30"/>
          <w:lang w:val="en-US" w:eastAsia="zh-CN"/>
        </w:rPr>
        <w:t>作者分析</w:t>
      </w:r>
      <w:bookmarkEnd w:id="35"/>
      <w:r>
        <w:rPr>
          <w:rFonts w:hint="eastAsia" w:ascii="仿宋" w:hAnsi="仿宋" w:eastAsia="仿宋" w:cs="仿宋"/>
          <w:b/>
          <w:bCs/>
          <w:sz w:val="30"/>
          <w:szCs w:val="30"/>
          <w:lang w:val="en-US" w:eastAsia="zh-CN"/>
        </w:rPr>
        <w:t>（含合作者）</w:t>
      </w:r>
      <w:bookmarkEnd w:id="36"/>
    </w:p>
    <w:p>
      <w:pPr>
        <w:widowControl w:val="0"/>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的33</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发文作者220名，其中发文两篇以上的有13人，发文最多的是Fang Ming，发文3篇，详见表10。</w:t>
      </w:r>
    </w:p>
    <w:p>
      <w:pPr>
        <w:widowControl w:val="0"/>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表10</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作者统</w:t>
      </w:r>
      <w:r>
        <w:rPr>
          <w:rFonts w:hint="eastAsia" w:ascii="仿宋" w:hAnsi="仿宋" w:eastAsia="仿宋" w:cs="仿宋"/>
          <w:b/>
          <w:bCs/>
          <w:color w:val="000000"/>
          <w:kern w:val="0"/>
          <w:sz w:val="24"/>
          <w:szCs w:val="24"/>
          <w:lang w:bidi="ar"/>
        </w:rPr>
        <w:t>计表</w:t>
      </w:r>
      <w:r>
        <w:rPr>
          <w:rFonts w:hint="eastAsia" w:ascii="仿宋" w:hAnsi="仿宋" w:eastAsia="仿宋" w:cs="仿宋"/>
          <w:b/>
          <w:bCs/>
          <w:color w:val="000000"/>
          <w:kern w:val="0"/>
          <w:sz w:val="24"/>
          <w:szCs w:val="24"/>
          <w:lang w:val="en-US" w:eastAsia="zh-CN" w:bidi="ar"/>
        </w:rPr>
        <w:t xml:space="preserve"> </w:t>
      </w:r>
    </w:p>
    <w:p>
      <w:pPr>
        <w:widowControl w:val="0"/>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2"/>
        <w:tblW w:w="4997" w:type="pct"/>
        <w:tblInd w:w="0" w:type="dxa"/>
        <w:shd w:val="clear" w:color="auto" w:fill="auto"/>
        <w:tblLayout w:type="autofit"/>
        <w:tblCellMar>
          <w:top w:w="0" w:type="dxa"/>
          <w:left w:w="0" w:type="dxa"/>
          <w:bottom w:w="0" w:type="dxa"/>
          <w:right w:w="0" w:type="dxa"/>
        </w:tblCellMar>
      </w:tblPr>
      <w:tblGrid>
        <w:gridCol w:w="655"/>
        <w:gridCol w:w="2306"/>
        <w:gridCol w:w="1080"/>
        <w:gridCol w:w="697"/>
        <w:gridCol w:w="2392"/>
        <w:gridCol w:w="1201"/>
      </w:tblGrid>
      <w:tr>
        <w:tblPrEx>
          <w:shd w:val="clear" w:color="auto" w:fill="auto"/>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38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姓名</w:t>
            </w:r>
          </w:p>
        </w:tc>
        <w:tc>
          <w:tcPr>
            <w:tcW w:w="6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41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43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姓名</w:t>
            </w:r>
          </w:p>
        </w:tc>
        <w:tc>
          <w:tcPr>
            <w:tcW w:w="72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30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Fang, Ming</w:t>
            </w:r>
          </w:p>
        </w:tc>
        <w:tc>
          <w:tcPr>
            <w:tcW w:w="108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lang w:val="en-US"/>
              </w:rPr>
            </w:pPr>
            <w:r>
              <w:rPr>
                <w:rFonts w:hint="eastAsia" w:ascii="仿宋" w:hAnsi="仿宋" w:eastAsia="仿宋" w:cs="仿宋"/>
                <w:i w:val="0"/>
                <w:color w:val="000000"/>
                <w:kern w:val="0"/>
                <w:sz w:val="22"/>
                <w:szCs w:val="22"/>
                <w:u w:val="none"/>
                <w:lang w:val="en-US" w:eastAsia="zh-CN" w:bidi="ar"/>
              </w:rPr>
              <w:t>8</w:t>
            </w:r>
          </w:p>
        </w:tc>
        <w:tc>
          <w:tcPr>
            <w:tcW w:w="2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Song, Ai-jun</w:t>
            </w:r>
          </w:p>
        </w:tc>
        <w:tc>
          <w:tcPr>
            <w:tcW w:w="12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2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Chen, Mei-ru</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lang w:val="en-US"/>
              </w:rPr>
            </w:pPr>
            <w:r>
              <w:rPr>
                <w:rFonts w:hint="eastAsia" w:ascii="仿宋" w:hAnsi="仿宋" w:eastAsia="仿宋" w:cs="仿宋"/>
                <w:i w:val="0"/>
                <w:color w:val="000000"/>
                <w:kern w:val="0"/>
                <w:sz w:val="22"/>
                <w:szCs w:val="22"/>
                <w:u w:val="none"/>
                <w:lang w:val="en-US" w:eastAsia="zh-CN" w:bidi="ar"/>
              </w:rPr>
              <w:t>9</w:t>
            </w:r>
          </w:p>
        </w:tc>
        <w:tc>
          <w:tcPr>
            <w:tcW w:w="2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Wang, Wen-Min</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230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Guan, Hongzhi</w:t>
            </w:r>
          </w:p>
        </w:tc>
        <w:tc>
          <w:tcPr>
            <w:tcW w:w="108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2"/>
                <w:szCs w:val="22"/>
                <w:u w:val="none"/>
                <w:lang w:val="en-US"/>
              </w:rPr>
            </w:pPr>
            <w:r>
              <w:rPr>
                <w:rFonts w:hint="eastAsia" w:ascii="仿宋" w:hAnsi="仿宋" w:eastAsia="仿宋" w:cs="仿宋"/>
                <w:i w:val="0"/>
                <w:color w:val="000000"/>
                <w:kern w:val="0"/>
                <w:sz w:val="22"/>
                <w:szCs w:val="22"/>
                <w:u w:val="none"/>
                <w:lang w:val="en-US" w:eastAsia="zh-CN" w:bidi="ar"/>
              </w:rPr>
              <w:t>10</w:t>
            </w:r>
          </w:p>
        </w:tc>
        <w:tc>
          <w:tcPr>
            <w:tcW w:w="2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Xue, Cai-Long</w:t>
            </w:r>
          </w:p>
        </w:tc>
        <w:tc>
          <w:tcPr>
            <w:tcW w:w="12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2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Han, Ya-jie</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lang w:val="en-US"/>
              </w:rPr>
            </w:pPr>
            <w:r>
              <w:rPr>
                <w:rFonts w:hint="eastAsia" w:ascii="仿宋" w:hAnsi="仿宋" w:eastAsia="仿宋" w:cs="仿宋"/>
                <w:i w:val="0"/>
                <w:color w:val="000000"/>
                <w:kern w:val="0"/>
                <w:sz w:val="22"/>
                <w:szCs w:val="22"/>
                <w:u w:val="none"/>
                <w:lang w:val="en-US" w:eastAsia="zh-CN" w:bidi="ar"/>
              </w:rPr>
              <w:t>11</w:t>
            </w:r>
          </w:p>
        </w:tc>
        <w:tc>
          <w:tcPr>
            <w:tcW w:w="2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Zhang, Wen-jing</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230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Liu, Lu</w:t>
            </w:r>
          </w:p>
        </w:tc>
        <w:tc>
          <w:tcPr>
            <w:tcW w:w="108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lang w:val="en-US"/>
              </w:rPr>
            </w:pPr>
            <w:r>
              <w:rPr>
                <w:rFonts w:hint="eastAsia" w:ascii="仿宋" w:hAnsi="仿宋" w:eastAsia="仿宋" w:cs="仿宋"/>
                <w:i w:val="0"/>
                <w:color w:val="000000"/>
                <w:kern w:val="0"/>
                <w:sz w:val="22"/>
                <w:szCs w:val="22"/>
                <w:u w:val="none"/>
                <w:lang w:val="en-US" w:eastAsia="zh-CN" w:bidi="ar"/>
              </w:rPr>
              <w:t>12</w:t>
            </w:r>
          </w:p>
        </w:tc>
        <w:tc>
          <w:tcPr>
            <w:tcW w:w="2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Zhang, Zhi-wei</w:t>
            </w:r>
          </w:p>
        </w:tc>
        <w:tc>
          <w:tcPr>
            <w:tcW w:w="12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2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Lu, Xu-Lin</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13</w:t>
            </w:r>
          </w:p>
        </w:tc>
        <w:tc>
          <w:tcPr>
            <w:tcW w:w="2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Wang, Shuang</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230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Qiao, Na</w:t>
            </w:r>
          </w:p>
        </w:tc>
        <w:tc>
          <w:tcPr>
            <w:tcW w:w="108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jc w:val="center"/>
              <w:rPr>
                <w:rFonts w:hint="eastAsia" w:ascii="仿宋" w:hAnsi="仿宋" w:eastAsia="仿宋" w:cs="仿宋"/>
                <w:i w:val="0"/>
                <w:color w:val="000000"/>
                <w:sz w:val="22"/>
                <w:szCs w:val="22"/>
                <w:u w:val="none"/>
                <w:lang w:val="en-US" w:eastAsia="zh-CN"/>
              </w:rPr>
            </w:pPr>
          </w:p>
        </w:tc>
        <w:tc>
          <w:tcPr>
            <w:tcW w:w="2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p>
        </w:tc>
        <w:tc>
          <w:tcPr>
            <w:tcW w:w="12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p>
        </w:tc>
      </w:tr>
    </w:tbl>
    <w:p>
      <w:pPr>
        <w:numPr>
          <w:ilvl w:val="0"/>
          <w:numId w:val="0"/>
        </w:numPr>
        <w:ind w:firstLine="482" w:firstLineChars="200"/>
        <w:jc w:val="both"/>
        <w:rPr>
          <w:rFonts w:hint="default" w:ascii="仿宋" w:hAnsi="仿宋" w:eastAsia="仿宋" w:cs="仿宋"/>
          <w:b/>
          <w:bCs/>
          <w:color w:val="000000"/>
          <w:kern w:val="0"/>
          <w:sz w:val="24"/>
          <w:szCs w:val="24"/>
          <w:lang w:val="en-US" w:eastAsia="zh-CN" w:bidi="ar"/>
        </w:rPr>
      </w:pP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37" w:name="_Toc31626"/>
      <w:bookmarkStart w:id="38" w:name="_Toc16329"/>
      <w:r>
        <w:rPr>
          <w:rFonts w:hint="eastAsia" w:ascii="仿宋" w:hAnsi="仿宋" w:eastAsia="仿宋" w:cs="仿宋"/>
          <w:b/>
          <w:bCs/>
          <w:sz w:val="30"/>
          <w:szCs w:val="30"/>
          <w:lang w:val="en-US" w:eastAsia="zh-CN"/>
        </w:rPr>
        <w:t>6.基金分析</w:t>
      </w:r>
      <w:bookmarkEnd w:id="37"/>
      <w:bookmarkEnd w:id="38"/>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综合分析2021年第一季度国外公开发表的33篇论文中，基金资助超过两篇文章的有8个，其中资助文献最多的基金是</w:t>
      </w:r>
      <w:r>
        <w:rPr>
          <w:rFonts w:hint="eastAsia" w:ascii="Calibri" w:hAnsi="Calibri" w:eastAsia="宋体" w:cs="Calibri"/>
          <w:i w:val="0"/>
          <w:color w:val="000000"/>
          <w:kern w:val="0"/>
          <w:sz w:val="24"/>
          <w:szCs w:val="24"/>
          <w:u w:val="none"/>
          <w:lang w:val="en-US" w:eastAsia="zh-CN" w:bidi="ar"/>
        </w:rPr>
        <w:t>National Natural Science Foundation of China</w:t>
      </w:r>
      <w:r>
        <w:rPr>
          <w:rFonts w:hint="eastAsia" w:ascii="仿宋" w:hAnsi="仿宋" w:eastAsia="仿宋" w:cs="仿宋"/>
          <w:b w:val="0"/>
          <w:bCs w:val="0"/>
          <w:sz w:val="28"/>
          <w:szCs w:val="28"/>
          <w:lang w:val="en-US" w:eastAsia="zh-CN"/>
        </w:rPr>
        <w:t>，具体分布见表11。</w:t>
      </w:r>
    </w:p>
    <w:p>
      <w:pPr>
        <w:widowControl w:val="0"/>
        <w:numPr>
          <w:ilvl w:val="0"/>
          <w:numId w:val="0"/>
        </w:numPr>
        <w:ind w:firstLine="482" w:firstLineChars="200"/>
        <w:jc w:val="center"/>
        <w:rPr>
          <w:rFonts w:hint="eastAsia" w:ascii="仿宋" w:hAnsi="仿宋" w:eastAsia="仿宋" w:cs="仿宋"/>
          <w:b w:val="0"/>
          <w:bCs w:val="0"/>
          <w:sz w:val="28"/>
          <w:szCs w:val="28"/>
          <w:lang w:val="en-US" w:eastAsia="zh-CN"/>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2021年第四度国外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2"/>
        <w:tblpPr w:leftFromText="180" w:rightFromText="180" w:vertAnchor="text" w:horzAnchor="page" w:tblpX="1782" w:tblpY="309"/>
        <w:tblOverlap w:val="never"/>
        <w:tblW w:w="4998" w:type="pct"/>
        <w:tblInd w:w="0" w:type="dxa"/>
        <w:shd w:val="clear" w:color="auto" w:fill="auto"/>
        <w:tblLayout w:type="autofit"/>
        <w:tblCellMar>
          <w:top w:w="0" w:type="dxa"/>
          <w:left w:w="0" w:type="dxa"/>
          <w:bottom w:w="0" w:type="dxa"/>
          <w:right w:w="0" w:type="dxa"/>
        </w:tblCellMar>
      </w:tblPr>
      <w:tblGrid>
        <w:gridCol w:w="650"/>
        <w:gridCol w:w="6606"/>
        <w:gridCol w:w="1077"/>
      </w:tblGrid>
      <w:tr>
        <w:tblPrEx>
          <w:shd w:val="clear" w:color="auto" w:fill="auto"/>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396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基金名称</w:t>
            </w:r>
          </w:p>
        </w:tc>
        <w:tc>
          <w:tcPr>
            <w:tcW w:w="64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r>
      <w:tr>
        <w:tblPrEx>
          <w:shd w:val="clear" w:color="auto" w:fill="auto"/>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660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National Natural Science Foundation of China (NSFC)</w:t>
            </w:r>
          </w:p>
        </w:tc>
        <w:tc>
          <w:tcPr>
            <w:tcW w:w="10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r>
      <w:tr>
        <w:tblPrEx>
          <w:shd w:val="clear" w:color="auto" w:fill="auto"/>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6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Natural Science Foundation of Hebei Province</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r>
      <w:tr>
        <w:tblPrEx>
          <w:shd w:val="clear" w:color="auto" w:fill="auto"/>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660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Beijing Municipal Natural Science Foundation</w:t>
            </w:r>
          </w:p>
        </w:tc>
        <w:tc>
          <w:tcPr>
            <w:tcW w:w="10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6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Fundamental Research Funds for the Central Universities</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660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Hebei Master's Innovation Subsidy Project in 2020</w:t>
            </w:r>
          </w:p>
        </w:tc>
        <w:tc>
          <w:tcPr>
            <w:tcW w:w="10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6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Hebei Province for the Returned Overseas Chinese Scholars</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660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Scientific and Technological Innovation Programs of Higher Education Institutions in Shanxi</w:t>
            </w:r>
          </w:p>
        </w:tc>
        <w:tc>
          <w:tcPr>
            <w:tcW w:w="10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6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Talent training project in Hebei</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bl>
    <w:p>
      <w:pPr>
        <w:spacing w:line="480" w:lineRule="auto"/>
        <w:jc w:val="center"/>
        <w:rPr>
          <w:rFonts w:hint="eastAsia"/>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39" w:name="_Toc28712"/>
      <w:bookmarkStart w:id="40" w:name="_Toc6044"/>
    </w:p>
    <w:p>
      <w:pPr>
        <w:numPr>
          <w:ilvl w:val="0"/>
          <w:numId w:val="0"/>
        </w:numPr>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7.被引分析</w:t>
      </w:r>
      <w:bookmarkEnd w:id="39"/>
      <w:bookmarkEnd w:id="40"/>
    </w:p>
    <w:p>
      <w:pPr>
        <w:numPr>
          <w:ilvl w:val="0"/>
          <w:numId w:val="0"/>
        </w:numPr>
        <w:ind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综合分析2021年第一季度国外公开发表的33篇论文中，被引用文献有4篇，其中被引次数最多的文章是</w:t>
      </w:r>
      <w:r>
        <w:rPr>
          <w:rFonts w:hint="eastAsia" w:ascii="仿宋" w:hAnsi="仿宋" w:eastAsia="仿宋" w:cs="仿宋"/>
          <w:i w:val="0"/>
          <w:color w:val="000000"/>
          <w:kern w:val="0"/>
          <w:sz w:val="24"/>
          <w:szCs w:val="24"/>
          <w:u w:val="none"/>
          <w:lang w:val="en-US" w:eastAsia="zh-CN" w:bidi="ar"/>
        </w:rPr>
        <w:t>A human neutralizing antibody targets the receptor-binding site of SARS-CoV-2</w:t>
      </w:r>
      <w:r>
        <w:rPr>
          <w:rFonts w:hint="eastAsia" w:ascii="仿宋" w:hAnsi="仿宋" w:eastAsia="仿宋" w:cs="仿宋"/>
          <w:b w:val="0"/>
          <w:bCs w:val="0"/>
          <w:sz w:val="28"/>
          <w:szCs w:val="28"/>
          <w:lang w:val="en-US" w:eastAsia="zh-CN"/>
        </w:rPr>
        <w:t>，具体分布见表12。</w:t>
      </w:r>
    </w:p>
    <w:p>
      <w:pPr>
        <w:numPr>
          <w:ilvl w:val="0"/>
          <w:numId w:val="0"/>
        </w:numPr>
        <w:jc w:val="left"/>
        <w:rPr>
          <w:rFonts w:hint="eastAsia" w:ascii="仿宋" w:hAnsi="仿宋" w:eastAsia="仿宋" w:cs="仿宋"/>
          <w:b w:val="0"/>
          <w:bCs w:val="0"/>
          <w:sz w:val="28"/>
          <w:szCs w:val="28"/>
          <w:lang w:val="en-US" w:eastAsia="zh-CN"/>
        </w:rPr>
      </w:pPr>
    </w:p>
    <w:p>
      <w:pPr>
        <w:numPr>
          <w:ilvl w:val="0"/>
          <w:numId w:val="0"/>
        </w:numPr>
        <w:ind w:firstLine="964" w:firstLineChars="400"/>
        <w:jc w:val="left"/>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2021年第一季度国外发文被引频次</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bidi="ar"/>
        </w:rPr>
      </w:pPr>
    </w:p>
    <w:tbl>
      <w:tblPr>
        <w:tblStyle w:val="2"/>
        <w:tblW w:w="8336" w:type="dxa"/>
        <w:tblInd w:w="0" w:type="dxa"/>
        <w:shd w:val="clear" w:color="auto" w:fill="auto"/>
        <w:tblLayout w:type="fixed"/>
        <w:tblCellMar>
          <w:top w:w="0" w:type="dxa"/>
          <w:left w:w="0" w:type="dxa"/>
          <w:bottom w:w="0" w:type="dxa"/>
          <w:right w:w="0" w:type="dxa"/>
        </w:tblCellMar>
      </w:tblPr>
      <w:tblGrid>
        <w:gridCol w:w="276"/>
        <w:gridCol w:w="3015"/>
        <w:gridCol w:w="900"/>
        <w:gridCol w:w="3810"/>
        <w:gridCol w:w="335"/>
      </w:tblGrid>
      <w:tr>
        <w:tblPrEx>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301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90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81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tblPrEx>
          <w:tblCellMar>
            <w:top w:w="0" w:type="dxa"/>
            <w:left w:w="0" w:type="dxa"/>
            <w:bottom w:w="0" w:type="dxa"/>
            <w:right w:w="0" w:type="dxa"/>
          </w:tblCellMar>
        </w:tblPrEx>
        <w:trPr>
          <w:trHeight w:val="209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In-situ EIS study on the initial corrosion evolution behavior of SAC305 solder alloy covered with NaCl solution</w:t>
            </w:r>
          </w:p>
        </w:tc>
        <w:tc>
          <w:tcPr>
            <w:tcW w:w="90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25-Jan</w:t>
            </w:r>
          </w:p>
        </w:tc>
        <w:tc>
          <w:tcPr>
            <w:tcW w:w="381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Qiao, Chuang; Wang, Mingna; Hao, Long; Jiang, Xiaolin; Liu, Xiahe; Thee, Chowwanonthapunya; An, Xizhong</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A bifunctionalized NiCo2O4-Au composite: Intrinsic peroxidase and oxidase catalytic activities for killing bacteria and disinfecting wound</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15-Jan</w:t>
            </w:r>
          </w:p>
        </w:tc>
        <w:tc>
          <w:tcPr>
            <w:tcW w:w="381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Mu, Qianzhu; Sun, Yanfeng; Guo, Aiying; Xu, Xiaoyue; Qin, Baoping; Cai, Aijun</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Hawthorn polyphenols reduce high glucose-induced inflammation and apoptosis in ARPE-19 cells by regulating miR-34a/SIRT1 to reduce acetylation</w:t>
            </w:r>
          </w:p>
        </w:tc>
        <w:tc>
          <w:tcPr>
            <w:tcW w:w="90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FEB</w:t>
            </w:r>
          </w:p>
        </w:tc>
        <w:tc>
          <w:tcPr>
            <w:tcW w:w="381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Liu, Suwen; Fang, Yuan; Yu, Jincheng; Chang, Xuedong</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301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Combining brain-computer interface and virtual reality for rehabilitation in neurological diseases: A narrative review</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JAN</w:t>
            </w:r>
          </w:p>
        </w:tc>
        <w:tc>
          <w:tcPr>
            <w:tcW w:w="381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Wen, Dong; Fan, Yali; Hsu, Sheng-Hsiou; Xu, Jian; Zhou, Yanhong; Tao, Jianxin; Lan, Xifa; Li, Fengnian</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bl>
    <w:p>
      <w:pPr>
        <w:spacing w:line="480" w:lineRule="auto"/>
        <w:jc w:val="center"/>
        <w:rPr>
          <w:rFonts w:hint="eastAsia"/>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C36F1A"/>
    <w:multiLevelType w:val="singleLevel"/>
    <w:tmpl w:val="C8C36F1A"/>
    <w:lvl w:ilvl="0" w:tentative="0">
      <w:start w:val="5"/>
      <w:numFmt w:val="decimal"/>
      <w:lvlText w:val="%1."/>
      <w:lvlJc w:val="left"/>
      <w:pPr>
        <w:tabs>
          <w:tab w:val="left" w:pos="312"/>
        </w:tabs>
      </w:pPr>
    </w:lvl>
  </w:abstractNum>
  <w:abstractNum w:abstractNumId="1">
    <w:nsid w:val="281E1A1B"/>
    <w:multiLevelType w:val="singleLevel"/>
    <w:tmpl w:val="281E1A1B"/>
    <w:lvl w:ilvl="0" w:tentative="0">
      <w:start w:val="1"/>
      <w:numFmt w:val="decimal"/>
      <w:lvlText w:val="%1."/>
      <w:lvlJc w:val="left"/>
      <w:pPr>
        <w:tabs>
          <w:tab w:val="left" w:pos="312"/>
        </w:tabs>
      </w:pPr>
    </w:lvl>
  </w:abstractNum>
  <w:abstractNum w:abstractNumId="2">
    <w:nsid w:val="7AC33C8C"/>
    <w:multiLevelType w:val="singleLevel"/>
    <w:tmpl w:val="7AC33C8C"/>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21C5F9F"/>
    <w:rsid w:val="02F868C8"/>
    <w:rsid w:val="038A7F2F"/>
    <w:rsid w:val="0495645F"/>
    <w:rsid w:val="074C2D13"/>
    <w:rsid w:val="087C5B35"/>
    <w:rsid w:val="08AE1213"/>
    <w:rsid w:val="0BF1297F"/>
    <w:rsid w:val="13105886"/>
    <w:rsid w:val="13136B57"/>
    <w:rsid w:val="139416D0"/>
    <w:rsid w:val="13987AF7"/>
    <w:rsid w:val="144964D4"/>
    <w:rsid w:val="157B3785"/>
    <w:rsid w:val="157F3E5B"/>
    <w:rsid w:val="189561A4"/>
    <w:rsid w:val="1A372FAB"/>
    <w:rsid w:val="1A5873E9"/>
    <w:rsid w:val="1C0520C8"/>
    <w:rsid w:val="1C65043A"/>
    <w:rsid w:val="1CE92B97"/>
    <w:rsid w:val="1D9751D2"/>
    <w:rsid w:val="22285904"/>
    <w:rsid w:val="23491031"/>
    <w:rsid w:val="23A743D7"/>
    <w:rsid w:val="23D63EB9"/>
    <w:rsid w:val="26492636"/>
    <w:rsid w:val="28B05E51"/>
    <w:rsid w:val="298E7BCC"/>
    <w:rsid w:val="299D4AAE"/>
    <w:rsid w:val="2A1E1EF9"/>
    <w:rsid w:val="2C3D740F"/>
    <w:rsid w:val="2DFC690D"/>
    <w:rsid w:val="300D612B"/>
    <w:rsid w:val="33EC74B8"/>
    <w:rsid w:val="35294481"/>
    <w:rsid w:val="38914172"/>
    <w:rsid w:val="38D14B6E"/>
    <w:rsid w:val="3C0F5F44"/>
    <w:rsid w:val="3C8E6E90"/>
    <w:rsid w:val="3C8E78EF"/>
    <w:rsid w:val="3D203C2F"/>
    <w:rsid w:val="3DDC6D23"/>
    <w:rsid w:val="3E2264D4"/>
    <w:rsid w:val="426F2679"/>
    <w:rsid w:val="44BB4992"/>
    <w:rsid w:val="44F84B54"/>
    <w:rsid w:val="45E32462"/>
    <w:rsid w:val="46325B29"/>
    <w:rsid w:val="4B545E24"/>
    <w:rsid w:val="4CA42517"/>
    <w:rsid w:val="4FA01782"/>
    <w:rsid w:val="4FF16129"/>
    <w:rsid w:val="5022272A"/>
    <w:rsid w:val="532C6A4B"/>
    <w:rsid w:val="547C45F3"/>
    <w:rsid w:val="54AC57C2"/>
    <w:rsid w:val="55064901"/>
    <w:rsid w:val="55D213BB"/>
    <w:rsid w:val="56492C8F"/>
    <w:rsid w:val="58FB4CED"/>
    <w:rsid w:val="5AD016BC"/>
    <w:rsid w:val="5B8861B6"/>
    <w:rsid w:val="5D174C2A"/>
    <w:rsid w:val="5D7F24A9"/>
    <w:rsid w:val="5E49292E"/>
    <w:rsid w:val="632E5AE9"/>
    <w:rsid w:val="66BA47AA"/>
    <w:rsid w:val="67551F07"/>
    <w:rsid w:val="67FF3E86"/>
    <w:rsid w:val="691213E4"/>
    <w:rsid w:val="6AA42D73"/>
    <w:rsid w:val="6CC469C3"/>
    <w:rsid w:val="6E3F6C09"/>
    <w:rsid w:val="6E8647B0"/>
    <w:rsid w:val="6FBF5509"/>
    <w:rsid w:val="703C172C"/>
    <w:rsid w:val="71DD4ABF"/>
    <w:rsid w:val="72C83180"/>
    <w:rsid w:val="74FC42B5"/>
    <w:rsid w:val="770F010E"/>
    <w:rsid w:val="7C6932BF"/>
    <w:rsid w:val="7DDF3BA1"/>
    <w:rsid w:val="7DFC2D81"/>
    <w:rsid w:val="7E2646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font01"/>
    <w:basedOn w:val="3"/>
    <w:qFormat/>
    <w:uiPriority w:val="0"/>
    <w:rPr>
      <w:rFonts w:ascii="Arial" w:hAnsi="Arial" w:cs="Arial"/>
      <w:b/>
      <w:color w:val="808080"/>
      <w:sz w:val="21"/>
      <w:szCs w:val="21"/>
      <w:u w:val="none"/>
    </w:rPr>
  </w:style>
  <w:style w:type="paragraph" w:customStyle="1" w:styleId="5">
    <w:name w:val="WPSOffice手动目录 1"/>
    <w:qFormat/>
    <w:uiPriority w:val="0"/>
    <w:pPr>
      <w:ind w:leftChars="0"/>
    </w:pPr>
    <w:rPr>
      <w:rFonts w:ascii="Times New Roman" w:hAnsi="Times New Roman" w:eastAsia="宋体" w:cs="Times New Roman"/>
      <w:sz w:val="20"/>
      <w:szCs w:val="20"/>
    </w:rPr>
  </w:style>
  <w:style w:type="paragraph" w:customStyle="1" w:styleId="6">
    <w:name w:val="WPSOffice手动目录 2"/>
    <w:qFormat/>
    <w:uiPriority w:val="0"/>
    <w:pPr>
      <w:ind w:leftChars="200"/>
    </w:pPr>
    <w:rPr>
      <w:rFonts w:ascii="Times New Roman" w:hAnsi="Times New Roman" w:eastAsia="宋体" w:cs="Times New Roman"/>
      <w:sz w:val="20"/>
      <w:szCs w:val="20"/>
    </w:rPr>
  </w:style>
  <w:style w:type="paragraph" w:styleId="7">
    <w:name w:val="No Spacing"/>
    <w:unhideWhenUsed/>
    <w:qFormat/>
    <w:uiPriority w:val="1"/>
    <w:rPr>
      <w:rFonts w:hint="eastAsia" w:ascii="等线" w:hAnsi="等线" w:eastAsia="等线" w:cs="Times New Roman"/>
      <w:sz w:val="22"/>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H:\4.&#23398;&#31185;&#20998;&#26512;&#25253;&#21578;\2021&#31532;&#19968;&#23395;&#24230;&#21457;&#25991;&#24773;&#20917;&#32479;&#35745;\CNKI-2021&#24180;&#31532;&#19968;&#23395;&#24230;&#21457;&#25991;&#24635;&#37327;.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H:\4.&#23398;&#31185;&#20998;&#26512;&#25253;&#21578;\2021&#31532;&#19968;&#23395;&#24230;&#21457;&#25991;&#24773;&#20917;&#32479;&#35745;\CNKI-2021&#24180;&#31532;&#19968;&#23395;&#24230;&#21457;&#25991;&#24635;&#37327;.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H:\4.&#23398;&#31185;&#20998;&#26512;&#25253;&#21578;\2021&#31532;&#19968;&#23395;&#24230;&#21457;&#25991;&#24773;&#20917;&#32479;&#35745;\CNKI-2021&#24180;&#31532;&#19968;&#23395;&#24230;&#21457;&#25991;&#24635;&#37327;...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H:\4.&#23398;&#31185;&#20998;&#26512;&#25253;&#21578;\2021&#31532;&#19968;&#23395;&#24230;&#21457;&#25991;&#24773;&#20917;&#32479;&#35745;\CNKI-2021&#24180;&#31532;&#19968;&#23395;&#24230;&#21457;&#25991;&#24635;&#37327;...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H:\4.&#23398;&#31185;&#20998;&#26512;&#25253;&#21578;\2021&#31532;&#19968;&#23395;&#24230;&#21457;&#25991;&#24773;&#20917;&#32479;&#35745;\CNKI-2021&#24180;&#31532;&#19968;&#23395;&#24230;&#21457;&#25991;&#24635;&#3732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Pt>
            <c:idx val="29"/>
            <c:bubble3D val="0"/>
            <c:spPr>
              <a:solidFill>
                <a:schemeClr val="accent6">
                  <a:lumMod val="60000"/>
                  <a:lumOff val="40000"/>
                </a:schemeClr>
              </a:solidFill>
              <a:ln w="19050">
                <a:solidFill>
                  <a:schemeClr val="lt1"/>
                </a:solidFill>
              </a:ln>
              <a:effectLst/>
            </c:spPr>
          </c:dPt>
          <c:dPt>
            <c:idx val="30"/>
            <c:bubble3D val="0"/>
            <c:spPr>
              <a:solidFill>
                <a:schemeClr val="accent1">
                  <a:lumMod val="50000"/>
                </a:schemeClr>
              </a:solidFill>
              <a:ln w="19050">
                <a:solidFill>
                  <a:schemeClr val="lt1"/>
                </a:solidFill>
              </a:ln>
              <a:effectLst/>
            </c:spPr>
          </c:dPt>
          <c:dPt>
            <c:idx val="31"/>
            <c:bubble3D val="0"/>
            <c:spPr>
              <a:solidFill>
                <a:schemeClr val="accent2">
                  <a:lumMod val="5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'[CNKI-2021年第一季度发文总量.xlsx]2.主题分析'!$A$15:$A$46</c:f>
              <c:strCache>
                <c:ptCount val="32"/>
                <c:pt idx="0">
                  <c:v>景观营建</c:v>
                </c:pt>
                <c:pt idx="1">
                  <c:v>思想政治工作能力</c:v>
                </c:pt>
                <c:pt idx="2">
                  <c:v>康养旅游</c:v>
                </c:pt>
                <c:pt idx="3">
                  <c:v>特色小镇</c:v>
                </c:pt>
                <c:pt idx="4">
                  <c:v>土地流转</c:v>
                </c:pt>
                <c:pt idx="5">
                  <c:v>秦皇岛市</c:v>
                </c:pt>
                <c:pt idx="6">
                  <c:v>种植密度</c:v>
                </c:pt>
                <c:pt idx="7">
                  <c:v>克隆与表达</c:v>
                </c:pt>
                <c:pt idx="8">
                  <c:v>水貂源致病性大肠杆菌</c:v>
                </c:pt>
                <c:pt idx="9">
                  <c:v>育成期</c:v>
                </c:pt>
                <c:pt idx="10">
                  <c:v>储望华</c:v>
                </c:pt>
                <c:pt idx="11">
                  <c:v>生长性能</c:v>
                </c:pt>
                <c:pt idx="12">
                  <c:v>秦皇岛</c:v>
                </c:pt>
                <c:pt idx="13">
                  <c:v>城市居住区规划</c:v>
                </c:pt>
                <c:pt idx="14">
                  <c:v>决策树分类</c:v>
                </c:pt>
                <c:pt idx="15">
                  <c:v>导师制</c:v>
                </c:pt>
                <c:pt idx="16">
                  <c:v>甘薯全粉</c:v>
                </c:pt>
                <c:pt idx="17">
                  <c:v>生物信息学分析</c:v>
                </c:pt>
                <c:pt idx="18">
                  <c:v>美丽乡村建设</c:v>
                </c:pt>
                <c:pt idx="19">
                  <c:v>学生评教</c:v>
                </c:pt>
                <c:pt idx="20">
                  <c:v>思政课</c:v>
                </c:pt>
                <c:pt idx="21">
                  <c:v>食品安全问题</c:v>
                </c:pt>
                <c:pt idx="22">
                  <c:v>智能财务</c:v>
                </c:pt>
                <c:pt idx="23">
                  <c:v>融合发展</c:v>
                </c:pt>
                <c:pt idx="24">
                  <c:v>全域旅游</c:v>
                </c:pt>
                <c:pt idx="25">
                  <c:v>内切葡聚糖苷酶</c:v>
                </c:pt>
                <c:pt idx="26">
                  <c:v>桃</c:v>
                </c:pt>
                <c:pt idx="27">
                  <c:v>动物生产</c:v>
                </c:pt>
                <c:pt idx="28">
                  <c:v>ARIMA</c:v>
                </c:pt>
                <c:pt idx="29">
                  <c:v>RBD</c:v>
                </c:pt>
                <c:pt idx="30">
                  <c:v>农村土地流转</c:v>
                </c:pt>
                <c:pt idx="31">
                  <c:v>现代美育</c:v>
                </c:pt>
              </c:strCache>
            </c:strRef>
          </c:cat>
          <c:val>
            <c:numRef>
              <c:f>'[CNKI-2021年第一季度发文总量.xlsx]2.主题分析'!$B$15:$B$46</c:f>
              <c:numCache>
                <c:formatCode>General</c:formatCode>
                <c:ptCount val="32"/>
                <c:pt idx="0">
                  <c:v>5</c:v>
                </c:pt>
                <c:pt idx="1">
                  <c:v>3</c:v>
                </c:pt>
                <c:pt idx="2">
                  <c:v>3</c:v>
                </c:pt>
                <c:pt idx="3">
                  <c:v>3</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Pt>
            <c:idx val="29"/>
            <c:bubble3D val="0"/>
            <c:spPr>
              <a:solidFill>
                <a:schemeClr val="accent6">
                  <a:lumMod val="60000"/>
                  <a:lumOff val="40000"/>
                </a:schemeClr>
              </a:solidFill>
              <a:ln w="19050">
                <a:solidFill>
                  <a:schemeClr val="lt1"/>
                </a:solidFill>
              </a:ln>
              <a:effectLst/>
            </c:spPr>
          </c:dPt>
          <c:dPt>
            <c:idx val="30"/>
            <c:bubble3D val="0"/>
            <c:spPr>
              <a:solidFill>
                <a:schemeClr val="accent1">
                  <a:lumMod val="50000"/>
                </a:schemeClr>
              </a:solidFill>
              <a:ln w="19050">
                <a:solidFill>
                  <a:schemeClr val="lt1"/>
                </a:solidFill>
              </a:ln>
              <a:effectLst/>
            </c:spPr>
          </c:dPt>
          <c:dPt>
            <c:idx val="31"/>
            <c:bubble3D val="0"/>
            <c:spPr>
              <a:solidFill>
                <a:schemeClr val="accent2">
                  <a:lumMod val="5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'[CNKI-2021年第一季度发文总量.xlsx]2.主题分析'!$E$27:$E$58</c:f>
              <c:strCache>
                <c:ptCount val="32"/>
                <c:pt idx="0">
                  <c:v>钢琴演奏</c:v>
                </c:pt>
                <c:pt idx="1">
                  <c:v>中华寿桃</c:v>
                </c:pt>
                <c:pt idx="2">
                  <c:v>马克思主义</c:v>
                </c:pt>
                <c:pt idx="3">
                  <c:v>桃品种</c:v>
                </c:pt>
                <c:pt idx="4">
                  <c:v>职务犯罪案件分流</c:v>
                </c:pt>
                <c:pt idx="5">
                  <c:v>影响度</c:v>
                </c:pt>
                <c:pt idx="6">
                  <c:v>玉米产量</c:v>
                </c:pt>
                <c:pt idx="7">
                  <c:v>应急管理体系</c:v>
                </c:pt>
                <c:pt idx="8">
                  <c:v>黑米粉</c:v>
                </c:pt>
                <c:pt idx="9">
                  <c:v>传染性因素</c:v>
                </c:pt>
                <c:pt idx="10">
                  <c:v>冰雪运动</c:v>
                </c:pt>
                <c:pt idx="11">
                  <c:v>土壤侵蚀强度</c:v>
                </c:pt>
                <c:pt idx="12">
                  <c:v>唐山市</c:v>
                </c:pt>
                <c:pt idx="13">
                  <c:v>“互联网+农业”</c:v>
                </c:pt>
                <c:pt idx="14">
                  <c:v>必然要求</c:v>
                </c:pt>
                <c:pt idx="15">
                  <c:v>应用型本科院校</c:v>
                </c:pt>
                <c:pt idx="16">
                  <c:v>公共卫生事件</c:v>
                </c:pt>
                <c:pt idx="17">
                  <c:v>病原菌</c:v>
                </c:pt>
                <c:pt idx="18">
                  <c:v>水合物</c:v>
                </c:pt>
                <c:pt idx="19">
                  <c:v>RhB</c:v>
                </c:pt>
                <c:pt idx="20">
                  <c:v>反租倒包</c:v>
                </c:pt>
                <c:pt idx="21">
                  <c:v>产业化</c:v>
                </c:pt>
                <c:pt idx="22">
                  <c:v>保守性</c:v>
                </c:pt>
                <c:pt idx="23">
                  <c:v>海绵城市技术</c:v>
                </c:pt>
                <c:pt idx="24">
                  <c:v>生态文明思想</c:v>
                </c:pt>
                <c:pt idx="25">
                  <c:v>像素点</c:v>
                </c:pt>
                <c:pt idx="26">
                  <c:v>TRIZ理论</c:v>
                </c:pt>
                <c:pt idx="27">
                  <c:v>品牌投资</c:v>
                </c:pt>
                <c:pt idx="28">
                  <c:v>根结线虫</c:v>
                </c:pt>
                <c:pt idx="29">
                  <c:v>相对表达量</c:v>
                </c:pt>
                <c:pt idx="30">
                  <c:v>晶体结构</c:v>
                </c:pt>
                <c:pt idx="31">
                  <c:v>峰值黏度</c:v>
                </c:pt>
              </c:strCache>
            </c:strRef>
          </c:cat>
          <c:val>
            <c:numRef>
              <c:f>'[CNKI-2021年第一季度发文总量.xlsx]2.主题分析'!$F$27:$F$58</c:f>
              <c:numCache>
                <c:formatCode>General</c:formatCode>
                <c:ptCount val="32"/>
                <c:pt idx="0">
                  <c:v>2</c:v>
                </c:pt>
                <c:pt idx="1">
                  <c:v>2</c:v>
                </c:pt>
                <c:pt idx="2">
                  <c:v>2</c:v>
                </c:pt>
                <c:pt idx="3">
                  <c:v>2</c:v>
                </c:pt>
                <c:pt idx="4">
                  <c:v>2</c:v>
                </c:pt>
                <c:pt idx="5">
                  <c:v>2</c:v>
                </c:pt>
                <c:pt idx="6">
                  <c:v>2</c:v>
                </c:pt>
                <c:pt idx="7">
                  <c:v>2</c:v>
                </c:pt>
                <c:pt idx="8">
                  <c:v>2</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Pt>
            <c:idx val="29"/>
            <c:bubble3D val="0"/>
            <c:spPr>
              <a:solidFill>
                <a:schemeClr val="accent6">
                  <a:lumMod val="60000"/>
                  <a:lumOff val="40000"/>
                </a:schemeClr>
              </a:solidFill>
              <a:ln w="19050">
                <a:solidFill>
                  <a:schemeClr val="lt1"/>
                </a:solidFill>
              </a:ln>
              <a:effectLst/>
            </c:spPr>
          </c:dPt>
          <c:dPt>
            <c:idx val="30"/>
            <c:bubble3D val="0"/>
            <c:spPr>
              <a:solidFill>
                <a:schemeClr val="accent1">
                  <a:lumMod val="50000"/>
                </a:schemeClr>
              </a:solidFill>
              <a:ln w="19050">
                <a:solidFill>
                  <a:schemeClr val="lt1"/>
                </a:solidFill>
              </a:ln>
              <a:effectLst/>
            </c:spPr>
          </c:dPt>
          <c:dPt>
            <c:idx val="31"/>
            <c:bubble3D val="0"/>
            <c:spPr>
              <a:solidFill>
                <a:schemeClr val="accent2">
                  <a:lumMod val="50000"/>
                </a:schemeClr>
              </a:solidFill>
              <a:ln w="19050">
                <a:solidFill>
                  <a:schemeClr val="lt1"/>
                </a:solidFill>
              </a:ln>
              <a:effectLst/>
            </c:spPr>
          </c:dPt>
          <c:dPt>
            <c:idx val="32"/>
            <c:bubble3D val="0"/>
            <c:spPr>
              <a:solidFill>
                <a:schemeClr val="accent3">
                  <a:lumMod val="50000"/>
                </a:schemeClr>
              </a:solidFill>
              <a:ln w="19050">
                <a:solidFill>
                  <a:schemeClr val="lt1"/>
                </a:solidFill>
              </a:ln>
              <a:effectLst/>
            </c:spPr>
          </c:dPt>
          <c:dPt>
            <c:idx val="33"/>
            <c:bubble3D val="0"/>
            <c:spPr>
              <a:solidFill>
                <a:schemeClr val="accent4">
                  <a:lumMod val="50000"/>
                </a:schemeClr>
              </a:solidFill>
              <a:ln w="19050">
                <a:solidFill>
                  <a:schemeClr val="lt1"/>
                </a:solidFill>
              </a:ln>
              <a:effectLst/>
            </c:spPr>
          </c:dPt>
          <c:dPt>
            <c:idx val="34"/>
            <c:bubble3D val="0"/>
            <c:spPr>
              <a:solidFill>
                <a:schemeClr val="accent5">
                  <a:lumMod val="5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'[CNKI-2021年第一季度发文总量...xlsx]3.关键词分析'!$D$1:$D$35</c:f>
              <c:strCache>
                <c:ptCount val="35"/>
                <c:pt idx="0">
                  <c:v>秦皇岛</c:v>
                </c:pt>
                <c:pt idx="1">
                  <c:v>全域旅游</c:v>
                </c:pt>
                <c:pt idx="2">
                  <c:v>大学生</c:v>
                </c:pt>
                <c:pt idx="3">
                  <c:v>高校</c:v>
                </c:pt>
                <c:pt idx="4">
                  <c:v>农村</c:v>
                </c:pt>
                <c:pt idx="5">
                  <c:v>乡村振兴</c:v>
                </c:pt>
                <c:pt idx="6">
                  <c:v>新时代</c:v>
                </c:pt>
                <c:pt idx="7">
                  <c:v>MODIS影像</c:v>
                </c:pt>
                <c:pt idx="8">
                  <c:v>板栗</c:v>
                </c:pt>
                <c:pt idx="9">
                  <c:v>冰雪运动</c:v>
                </c:pt>
                <c:pt idx="10">
                  <c:v>储望华</c:v>
                </c:pt>
                <c:pt idx="11">
                  <c:v>春玉米</c:v>
                </c:pt>
                <c:pt idx="12">
                  <c:v>大肠杆菌</c:v>
                </c:pt>
                <c:pt idx="13">
                  <c:v>导师制</c:v>
                </c:pt>
                <c:pt idx="14">
                  <c:v>地方高校</c:v>
                </c:pt>
                <c:pt idx="15">
                  <c:v>钢琴演奏</c:v>
                </c:pt>
                <c:pt idx="16">
                  <c:v>海洋体育</c:v>
                </c:pt>
                <c:pt idx="17">
                  <c:v>互联网+</c:v>
                </c:pt>
                <c:pt idx="18">
                  <c:v>建设</c:v>
                </c:pt>
                <c:pt idx="19">
                  <c:v>教学改革</c:v>
                </c:pt>
                <c:pt idx="20">
                  <c:v>教学实践</c:v>
                </c:pt>
                <c:pt idx="21">
                  <c:v>景观设计</c:v>
                </c:pt>
                <c:pt idx="22">
                  <c:v>耐药性</c:v>
                </c:pt>
                <c:pt idx="23">
                  <c:v>农民</c:v>
                </c:pt>
                <c:pt idx="24">
                  <c:v>配方</c:v>
                </c:pt>
                <c:pt idx="25">
                  <c:v>深度学习</c:v>
                </c:pt>
                <c:pt idx="26">
                  <c:v>生物信息学分析</c:v>
                </c:pt>
                <c:pt idx="27">
                  <c:v>生长性能</c:v>
                </c:pt>
                <c:pt idx="28">
                  <c:v>土地流转</c:v>
                </c:pt>
                <c:pt idx="29">
                  <c:v>问题</c:v>
                </c:pt>
                <c:pt idx="30">
                  <c:v>问题与对策</c:v>
                </c:pt>
                <c:pt idx="31">
                  <c:v>现代农业</c:v>
                </c:pt>
                <c:pt idx="32">
                  <c:v>乡村景观</c:v>
                </c:pt>
                <c:pt idx="33">
                  <c:v>制约因素</c:v>
                </c:pt>
                <c:pt idx="34">
                  <c:v>致病性</c:v>
                </c:pt>
              </c:strCache>
            </c:strRef>
          </c:cat>
          <c:val>
            <c:numRef>
              <c:f>'[CNKI-2021年第一季度发文总量...xlsx]3.关键词分析'!$E$1:$E$35</c:f>
              <c:numCache>
                <c:formatCode>General</c:formatCode>
                <c:ptCount val="35"/>
                <c:pt idx="0">
                  <c:v>6</c:v>
                </c:pt>
                <c:pt idx="1" c:formatCode="@">
                  <c:v>4</c:v>
                </c:pt>
                <c:pt idx="2">
                  <c:v>3</c:v>
                </c:pt>
                <c:pt idx="3">
                  <c:v>3</c:v>
                </c:pt>
                <c:pt idx="4" c:formatCode="@">
                  <c:v>3</c:v>
                </c:pt>
                <c:pt idx="5">
                  <c:v>3</c:v>
                </c:pt>
                <c:pt idx="6" c:formatCode="@">
                  <c:v>3</c:v>
                </c:pt>
                <c:pt idx="7" c:formatCode="@">
                  <c:v>2</c:v>
                </c:pt>
                <c:pt idx="8" c:formatCode="@">
                  <c:v>2</c:v>
                </c:pt>
                <c:pt idx="9">
                  <c:v>2</c:v>
                </c:pt>
                <c:pt idx="10" c:formatCode="@">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formatCode="@">
                  <c:v>2</c:v>
                </c:pt>
                <c:pt idx="26">
                  <c:v>2</c:v>
                </c:pt>
                <c:pt idx="27">
                  <c:v>2</c:v>
                </c:pt>
                <c:pt idx="28">
                  <c:v>2</c:v>
                </c:pt>
                <c:pt idx="29">
                  <c:v>2</c:v>
                </c:pt>
                <c:pt idx="30">
                  <c:v>2</c:v>
                </c:pt>
                <c:pt idx="31">
                  <c:v>2</c:v>
                </c:pt>
                <c:pt idx="32">
                  <c:v>2</c:v>
                </c:pt>
                <c:pt idx="33">
                  <c:v>2</c:v>
                </c:pt>
                <c:pt idx="34">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'[CNKI-2021年第一季度发文总量...xlsx]6.作者'!$A$3:$A$22</c:f>
              <c:strCache>
                <c:ptCount val="20"/>
                <c:pt idx="0">
                  <c:v>徐宁伟</c:v>
                </c:pt>
                <c:pt idx="1">
                  <c:v>陆冬梅</c:v>
                </c:pt>
                <c:pt idx="2">
                  <c:v>于宝</c:v>
                </c:pt>
                <c:pt idx="3">
                  <c:v>郭沙沙</c:v>
                </c:pt>
                <c:pt idx="4">
                  <c:v>郝世坤</c:v>
                </c:pt>
                <c:pt idx="5">
                  <c:v>李佩国</c:v>
                </c:pt>
                <c:pt idx="6">
                  <c:v>路斌</c:v>
                </c:pt>
                <c:pt idx="7">
                  <c:v>路丙社</c:v>
                </c:pt>
                <c:pt idx="8">
                  <c:v>尚宁宁</c:v>
                </c:pt>
                <c:pt idx="9">
                  <c:v>王海静</c:v>
                </c:pt>
                <c:pt idx="10">
                  <c:v>王建梅</c:v>
                </c:pt>
                <c:pt idx="11">
                  <c:v>王孟玉</c:v>
                </c:pt>
                <c:pt idx="12">
                  <c:v>王述芬</c:v>
                </c:pt>
                <c:pt idx="13">
                  <c:v>魏浩冉</c:v>
                </c:pt>
                <c:pt idx="14">
                  <c:v>吴菲</c:v>
                </c:pt>
                <c:pt idx="15">
                  <c:v>武琳娜</c:v>
                </c:pt>
                <c:pt idx="16">
                  <c:v>杨晴</c:v>
                </c:pt>
                <c:pt idx="17">
                  <c:v>杨晓宽</c:v>
                </c:pt>
                <c:pt idx="18">
                  <c:v>杨雅婷</c:v>
                </c:pt>
                <c:pt idx="19">
                  <c:v>张志强</c:v>
                </c:pt>
              </c:strCache>
            </c:strRef>
          </c:cat>
          <c:val>
            <c:numRef>
              <c:f>'[CNKI-2021年第一季度发文总量...xlsx]6.作者'!$B$3:$B$22</c:f>
              <c:numCache>
                <c:formatCode>General</c:formatCode>
                <c:ptCount val="20"/>
                <c:pt idx="0">
                  <c:v>5</c:v>
                </c:pt>
                <c:pt idx="1">
                  <c:v>4</c:v>
                </c:pt>
                <c:pt idx="2">
                  <c:v>4</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'[CNKI-2021年第一季度发文总量...xlsx]7.合作单位'!$A$3:$A$12</c:f>
              <c:strCache>
                <c:ptCount val="10"/>
                <c:pt idx="0">
                  <c:v>河北农业大学</c:v>
                </c:pt>
                <c:pt idx="1">
                  <c:v>河北省预防兽医学重点实验室</c:v>
                </c:pt>
                <c:pt idx="2">
                  <c:v>河北省特色动物种质资源挖掘与创新重点实验室</c:v>
                </c:pt>
                <c:pt idx="3">
                  <c:v>燕山大学</c:v>
                </c:pt>
                <c:pt idx="4">
                  <c:v>深圳大学</c:v>
                </c:pt>
                <c:pt idx="5">
                  <c:v>北京工业大学</c:v>
                </c:pt>
                <c:pt idx="6">
                  <c:v>河北省特色动物种子资源挖掘与创新重点实验室</c:v>
                </c:pt>
                <c:pt idx="7">
                  <c:v>秦皇岛市城市规划管理信息中心</c:v>
                </c:pt>
                <c:pt idx="8">
                  <c:v>浙江工业大学</c:v>
                </c:pt>
                <c:pt idx="9">
                  <c:v>中国农业科学院</c:v>
                </c:pt>
              </c:strCache>
            </c:strRef>
          </c:cat>
          <c:val>
            <c:numRef>
              <c:f>'[CNKI-2021年第一季度发文总量...xlsx]7.合作单位'!$B$3:$B$12</c:f>
              <c:numCache>
                <c:formatCode>@</c:formatCode>
                <c:ptCount val="10"/>
                <c:pt idx="0">
                  <c:v>6</c:v>
                </c:pt>
                <c:pt idx="1" c:formatCode="General">
                  <c:v>6</c:v>
                </c:pt>
                <c:pt idx="2" c:formatCode="General">
                  <c:v>5</c:v>
                </c:pt>
                <c:pt idx="3" c:formatCode="General">
                  <c:v>5</c:v>
                </c:pt>
                <c:pt idx="4" c:formatCode="General">
                  <c:v>3</c:v>
                </c:pt>
                <c:pt idx="5" c:formatCode="General">
                  <c:v>2</c:v>
                </c:pt>
                <c:pt idx="6" c:formatCode="General">
                  <c:v>2</c:v>
                </c:pt>
                <c:pt idx="7" c:formatCode="General">
                  <c:v>2</c:v>
                </c:pt>
                <c:pt idx="8" c:formatCode="General">
                  <c:v>2</c:v>
                </c:pt>
                <c:pt idx="9" c:formatCode="General">
                  <c:v>2</c:v>
                </c:pt>
              </c:numCache>
            </c:numRef>
          </c:val>
        </c:ser>
        <c:dLbls>
          <c:showLegendKey val="0"/>
          <c:showVal val="1"/>
          <c:showCatName val="0"/>
          <c:showSerName val="0"/>
          <c:showPercent val="0"/>
          <c:showBubbleSize val="0"/>
        </c:dLbls>
        <c:gapWidth val="219"/>
        <c:overlap val="-27"/>
        <c:axId val="635338980"/>
        <c:axId val="522153400"/>
      </c:barChart>
      <c:catAx>
        <c:axId val="6353389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2153400"/>
        <c:crosses val="autoZero"/>
        <c:auto val="1"/>
        <c:lblAlgn val="ctr"/>
        <c:lblOffset val="100"/>
        <c:noMultiLvlLbl val="0"/>
      </c:catAx>
      <c:valAx>
        <c:axId val="522153400"/>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53389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3562</Words>
  <Characters>5719</Characters>
  <Lines>0</Lines>
  <Paragraphs>0</Paragraphs>
  <TotalTime>1</TotalTime>
  <ScaleCrop>false</ScaleCrop>
  <LinksUpToDate>false</LinksUpToDate>
  <CharactersWithSpaces>6026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ym</cp:lastModifiedBy>
  <dcterms:modified xsi:type="dcterms:W3CDTF">2023-04-13T02:01:06Z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67EB0E9F885749A28F66DD34A42035C8</vt:lpwstr>
  </property>
</Properties>
</file>