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sz w:val="28"/>
          <w:szCs w:val="24"/>
          <w:u w:val="single"/>
        </w:rPr>
      </w:pPr>
    </w:p>
    <w:p>
      <w:pPr>
        <w:spacing w:line="480" w:lineRule="auto"/>
        <w:rPr>
          <w:rFonts w:hint="eastAsia" w:ascii="微软雅黑" w:hAnsi="微软雅黑" w:eastAsia="微软雅黑"/>
          <w:sz w:val="28"/>
          <w:szCs w:val="24"/>
          <w:u w:val="single"/>
        </w:rPr>
        <w:sectPr>
          <w:pgSz w:w="11906" w:h="16838"/>
          <w:pgMar w:top="1440" w:right="1080" w:bottom="1440" w:left="1080" w:header="1134" w:footer="794" w:gutter="0"/>
          <w:pgBorders>
            <w:top w:val="none" w:sz="0" w:space="0"/>
            <w:left w:val="none" w:sz="0" w:space="0"/>
            <w:bottom w:val="none" w:sz="0" w:space="0"/>
            <w:right w:val="none" w:sz="0" w:space="0"/>
          </w:pgBorders>
          <w:lnNumType w:countBy="0" w:distance="360"/>
          <w:cols w:space="720" w:num="1"/>
          <w:titlePg/>
          <w:docGrid w:linePitch="286" w:charSpace="0"/>
        </w:sect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6</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6</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6" name="等腰三角形 6"/>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3nI+qx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0"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DEy3YX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DEy3YX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2021年第一季度专利统计分析报告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Qnjrt0AAAAMAQAADwAAAAAAAAABACAAAAAiAAAAZHJzL2Rvd25y&#10;ZXYueG1sUEsBAhQAFAAAAAgAh07iQK0z9br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2021年第一季度专利统计分析报告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13"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M&#10;YKT52gAAAA0BAAAPAAAAAAAAAAEAIAAAACIAAABkcnMvZG93bnJldi54bWxQSwECFAAUAAAACACH&#10;TuJA44J3RCICAAAyBAAADgAAAAAAAAABACAAAAApAQAAZHJzL2Uyb0RvYy54bWxQSwUGAAAAAAYA&#10;BgBZAQAAvQUAAAAA&#10;" adj="5471,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4"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8"/>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AdpDTp9QEAANgDAAAOAAAAZHJzL2Uyb0RvYy54bWytU82O&#10;0zAQviPxDpbvNNnubmm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eIkXFFimMaO&#10;n37+OP36c/r9nUyjPq3zS0y7c5gYuje2w9zR79EZaXcV6PhHQgTjqO7xrK7oAuHonF6+vlrkGOIY&#10;W8zns8V1hMnuTzvw4a2wmkSjoIDdS6Kyw3sf+tQxJV7mrZLlViqVNlDvbhWQA8NOb9M3oD9KU4a0&#10;BZ1dXucJ2dh4vodWBouJZHtS0QrdrhsU2NnyiALgw8HKGgvfKGlxbArqv+4ZCErUO4N9iTM2GjAa&#10;u9FghuPRggZKevM29LO4dyDrBpGTsqkKbHgSZxjOOFEP96nW+we5/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HaQ06fUBAADYAwAADgAAAAAAAAABACAAAAAmAQAAZHJzL2Uyb0RvYy54bWxQ&#10;SwUGAAAAAAYABgBZAQAAjQUAAAAA&#10;">
                <v:fill on="t" focussize="0,0"/>
                <v:stroke on="f" weight="0.5pt"/>
                <v:imagedata o:title=""/>
                <o:lock v:ext="edit" aspectratio="f"/>
                <v:textbox inset="0mm,0mm,0mm,0mm">
                  <w:txbxContent>
                    <w:p>
                      <w:pPr>
                        <w:pStyle w:val="8"/>
                        <w:spacing w:before="40" w:after="560" w:line="216" w:lineRule="auto"/>
                        <w:rPr>
                          <w:rFonts w:hint="eastAsia" w:ascii="微软雅黑" w:hAnsi="微软雅黑" w:eastAsia="微软雅黑"/>
                          <w:color w:val="000000"/>
                          <w:sz w:val="48"/>
                          <w:szCs w:val="24"/>
                        </w:rPr>
                      </w:pPr>
                    </w:p>
                  </w:txbxContent>
                </v:textbox>
              </v:shape>
            </w:pict>
          </mc:Fallback>
        </mc:AlternateContent>
      </w:r>
    </w:p>
    <w:sdt>
      <w:sdtPr>
        <w:rPr>
          <w:rFonts w:ascii="宋体" w:hAnsi="宋体" w:eastAsia="宋体" w:cstheme="minorBidi"/>
          <w:kern w:val="2"/>
          <w:sz w:val="21"/>
          <w:szCs w:val="24"/>
          <w:lang w:val="en-US" w:eastAsia="zh-CN" w:bidi="ar-SA"/>
        </w:rPr>
        <w:id w:val="147451480"/>
        <w15:color w:val="DBDBDB"/>
        <w:docPartObj>
          <w:docPartGallery w:val="Table of Contents"/>
          <w:docPartUnique/>
        </w:docPartObj>
      </w:sdtPr>
      <w:sdtEndPr>
        <w:rPr>
          <w:rFonts w:hint="eastAsia" w:ascii="宋体" w:hAnsi="宋体" w:eastAsia="宋体" w:cs="宋体"/>
          <w:kern w:val="2"/>
          <w:sz w:val="24"/>
          <w:szCs w:val="24"/>
          <w:lang w:val="en-US" w:eastAsia="zh-CN" w:bidi="ar-SA"/>
        </w:rPr>
      </w:sdtEndPr>
      <w:sdtContent>
        <w:p>
          <w:pPr>
            <w:spacing w:line="360" w:lineRule="auto"/>
            <w:jc w:val="center"/>
            <w:rPr>
              <w:rFonts w:ascii="宋体" w:hAnsi="宋体" w:eastAsia="宋体" w:cstheme="minorBidi"/>
              <w:kern w:val="2"/>
              <w:sz w:val="21"/>
              <w:szCs w:val="24"/>
              <w:lang w:val="en-US" w:eastAsia="zh-CN" w:bidi="ar-SA"/>
            </w:rPr>
          </w:pPr>
        </w:p>
        <w:p>
          <w:pPr>
            <w:spacing w:line="360" w:lineRule="auto"/>
            <w:jc w:val="center"/>
            <w:rPr>
              <w:rFonts w:hint="eastAsia" w:ascii="黑体" w:hAnsi="黑体" w:eastAsia="黑体" w:cs="黑体"/>
              <w:sz w:val="44"/>
              <w:szCs w:val="44"/>
            </w:rPr>
          </w:pPr>
          <w:r>
            <w:rPr>
              <w:rFonts w:hint="eastAsia" w:ascii="黑体" w:hAnsi="黑体" w:eastAsia="黑体" w:cs="黑体"/>
              <w:sz w:val="44"/>
              <w:szCs w:val="44"/>
            </w:rPr>
            <w:t>目录</w:t>
          </w:r>
        </w:p>
        <w:p>
          <w:pPr>
            <w:pStyle w:val="4"/>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_Toc7887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1.专利数量分析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_Toc7887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_Toc17228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2.专利类别分析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_Toc17228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_Toc29986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_Toc29986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_Toc12074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4.主题词分析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_Toc12074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_Toc18980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5.发明人分析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_Toc18980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_Toc14065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6.申请机构分析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_Toc14065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_Toc11400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7.代理机构分析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_Toc11400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spacing w:line="480" w:lineRule="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_Toc30779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8.综合分析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_Toc30779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
            <w:tabs>
              <w:tab w:val="right" w:leader="dot" w:pos="8306"/>
            </w:tabs>
            <w:rPr>
              <w:sz w:val="28"/>
              <w:szCs w:val="28"/>
            </w:rPr>
          </w:pPr>
        </w:p>
        <w:p>
          <w:pPr>
            <w:spacing w:before="0" w:beforeLines="0" w:after="0" w:afterLines="0" w:line="360" w:lineRule="auto"/>
            <w:ind w:left="0" w:leftChars="0" w:right="0" w:rightChars="0" w:firstLine="0" w:firstLineChars="0"/>
            <w:jc w:val="center"/>
            <w:rPr>
              <w:rFonts w:hint="eastAsia" w:ascii="宋体" w:hAnsi="宋体" w:eastAsia="宋体" w:cs="宋体"/>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Cs w:val="24"/>
            </w:rPr>
            <w:fldChar w:fldCharType="end"/>
          </w:r>
        </w:p>
      </w:sdtContent>
    </w:sdt>
    <w:p/>
    <w:p>
      <w:pPr>
        <w:jc w:val="center"/>
        <w:outlineLvl w:val="0"/>
        <w:rPr>
          <w:rFonts w:hint="eastAsia" w:ascii="黑体" w:hAnsi="黑体" w:eastAsia="黑体" w:cs="黑体"/>
          <w:b/>
          <w:bCs/>
          <w:sz w:val="44"/>
          <w:szCs w:val="44"/>
          <w:lang w:val="en-US" w:eastAsia="zh-CN"/>
        </w:rPr>
      </w:pPr>
      <w:bookmarkStart w:id="0" w:name="_Toc10867"/>
      <w:bookmarkStart w:id="1" w:name="_Toc32336"/>
      <w:bookmarkStart w:id="2" w:name="_Toc10613"/>
      <w:bookmarkStart w:id="3" w:name="_Toc30326"/>
      <w:r>
        <w:rPr>
          <w:rFonts w:hint="eastAsia" w:ascii="黑体" w:hAnsi="黑体" w:eastAsia="黑体" w:cs="黑体"/>
          <w:b/>
          <w:bCs/>
          <w:sz w:val="44"/>
          <w:szCs w:val="44"/>
          <w:lang w:val="en-US" w:eastAsia="zh-CN"/>
        </w:rPr>
        <w:t>河北科技师范学院</w:t>
      </w:r>
      <w:bookmarkEnd w:id="0"/>
      <w:bookmarkEnd w:id="1"/>
      <w:bookmarkEnd w:id="2"/>
      <w:bookmarkEnd w:id="3"/>
    </w:p>
    <w:p>
      <w:pPr>
        <w:jc w:val="center"/>
        <w:outlineLvl w:val="0"/>
        <w:rPr>
          <w:rFonts w:hint="eastAsia" w:ascii="黑体" w:hAnsi="黑体" w:eastAsia="黑体" w:cs="黑体"/>
          <w:b/>
          <w:bCs/>
          <w:sz w:val="44"/>
          <w:szCs w:val="44"/>
          <w:lang w:val="en-US" w:eastAsia="zh-CN"/>
        </w:rPr>
      </w:pPr>
      <w:bookmarkStart w:id="4" w:name="_Toc23894"/>
      <w:bookmarkStart w:id="5" w:name="_Toc9198"/>
      <w:bookmarkStart w:id="6" w:name="_Toc18557"/>
      <w:bookmarkStart w:id="7" w:name="_Toc29920"/>
      <w:r>
        <w:rPr>
          <w:rFonts w:hint="eastAsia" w:ascii="黑体" w:hAnsi="黑体" w:eastAsia="黑体" w:cs="黑体"/>
          <w:b/>
          <w:bCs/>
          <w:sz w:val="44"/>
          <w:szCs w:val="44"/>
          <w:lang w:val="en-US" w:eastAsia="zh-CN"/>
        </w:rPr>
        <w:t>2021年第一季度专利情况统计分析报告</w:t>
      </w:r>
      <w:bookmarkEnd w:id="4"/>
      <w:bookmarkEnd w:id="5"/>
      <w:bookmarkEnd w:id="6"/>
      <w:bookmarkEnd w:id="7"/>
    </w:p>
    <w:p>
      <w:pPr>
        <w:numPr>
          <w:ilvl w:val="0"/>
          <w:numId w:val="0"/>
        </w:numPr>
        <w:jc w:val="both"/>
        <w:outlineLvl w:val="0"/>
        <w:rPr>
          <w:rFonts w:hint="eastAsia" w:ascii="黑体" w:hAnsi="黑体" w:eastAsia="黑体" w:cs="黑体"/>
          <w:b/>
          <w:bCs/>
          <w:sz w:val="32"/>
          <w:szCs w:val="32"/>
          <w:lang w:val="en-US" w:eastAsia="zh-CN"/>
        </w:rPr>
      </w:pPr>
      <w:bookmarkStart w:id="8" w:name="_Toc7887"/>
    </w:p>
    <w:p>
      <w:pPr>
        <w:numPr>
          <w:ilvl w:val="0"/>
          <w:numId w:val="0"/>
        </w:numPr>
        <w:jc w:val="both"/>
        <w:outlineLvl w:val="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1.专利数量分析</w:t>
      </w:r>
      <w:bookmarkEnd w:id="8"/>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数据库检索，在20</w:t>
      </w:r>
      <w:r>
        <w:rPr>
          <w:rFonts w:hint="eastAsia" w:ascii="仿宋" w:hAnsi="仿宋" w:eastAsia="仿宋" w:cs="仿宋"/>
          <w:sz w:val="28"/>
          <w:szCs w:val="28"/>
          <w:lang w:val="en-US" w:eastAsia="zh-CN"/>
        </w:rPr>
        <w:t>21年第一季度</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为申请人的专利公布公告23件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具体分布情况见表1。2021年第一季度，我校申请专利</w:t>
      </w:r>
      <w:bookmarkStart w:id="28" w:name="_GoBack"/>
      <w:bookmarkEnd w:id="28"/>
      <w:r>
        <w:rPr>
          <w:rFonts w:hint="eastAsia" w:ascii="仿宋" w:hAnsi="仿宋" w:eastAsia="仿宋" w:cs="仿宋"/>
          <w:sz w:val="28"/>
          <w:szCs w:val="28"/>
          <w:lang w:val="en-US" w:eastAsia="zh-CN"/>
        </w:rPr>
        <w:t>总体趋于平稳，2021年1月申请专利数量较多，总体趋势见图1。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2021年第一季度专利</w:t>
      </w:r>
      <w:r>
        <w:rPr>
          <w:rFonts w:hint="eastAsia" w:ascii="仿宋" w:hAnsi="仿宋" w:eastAsia="仿宋" w:cs="仿宋"/>
          <w:b/>
          <w:bCs/>
          <w:color w:val="000000"/>
          <w:kern w:val="0"/>
          <w:sz w:val="24"/>
          <w:szCs w:val="24"/>
          <w:lang w:bidi="ar"/>
        </w:rPr>
        <w:t>情况统计表</w:t>
      </w:r>
    </w:p>
    <w:tbl>
      <w:tblPr>
        <w:tblStyle w:val="5"/>
        <w:tblW w:w="4998" w:type="pct"/>
        <w:jc w:val="center"/>
        <w:shd w:val="clear" w:color="auto" w:fill="auto"/>
        <w:tblLayout w:type="autofit"/>
        <w:tblCellMar>
          <w:top w:w="0" w:type="dxa"/>
          <w:left w:w="0" w:type="dxa"/>
          <w:bottom w:w="0" w:type="dxa"/>
          <w:right w:w="0" w:type="dxa"/>
        </w:tblCellMar>
      </w:tblPr>
      <w:tblGrid>
        <w:gridCol w:w="4419"/>
        <w:gridCol w:w="3914"/>
      </w:tblGrid>
      <w:tr>
        <w:tblPrEx>
          <w:shd w:val="clear" w:color="auto" w:fill="auto"/>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2021年1月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2021年2月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2021年3月</w:t>
            </w:r>
          </w:p>
        </w:tc>
        <w:tc>
          <w:tcPr>
            <w:tcW w:w="391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234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2021年第一季度专利总体趋势</w:t>
      </w:r>
    </w:p>
    <w:p>
      <w:pPr>
        <w:widowControl w:val="0"/>
        <w:numPr>
          <w:ilvl w:val="0"/>
          <w:numId w:val="0"/>
        </w:numPr>
        <w:tabs>
          <w:tab w:val="left" w:pos="312"/>
        </w:tabs>
        <w:jc w:val="center"/>
      </w:pPr>
      <w:r>
        <w:drawing>
          <wp:inline distT="0" distB="0" distL="114300" distR="114300">
            <wp:extent cx="4572000" cy="2774950"/>
            <wp:effectExtent l="4445" t="4445" r="14605" b="2095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jc w:val="both"/>
        <w:outlineLvl w:val="0"/>
        <w:rPr>
          <w:rFonts w:hint="default" w:ascii="黑体" w:hAnsi="黑体" w:eastAsia="黑体" w:cs="黑体"/>
          <w:b/>
          <w:bCs/>
          <w:sz w:val="32"/>
          <w:szCs w:val="32"/>
          <w:lang w:val="en-US" w:eastAsia="zh-CN"/>
        </w:rPr>
      </w:pPr>
      <w:bookmarkStart w:id="9" w:name="_Toc17228"/>
      <w:r>
        <w:rPr>
          <w:rFonts w:hint="eastAsia" w:ascii="黑体" w:hAnsi="黑体" w:eastAsia="黑体" w:cs="黑体"/>
          <w:b/>
          <w:bCs/>
          <w:sz w:val="32"/>
          <w:szCs w:val="32"/>
          <w:lang w:val="en-US" w:eastAsia="zh-CN"/>
        </w:rPr>
        <w:t>2.专利类别分析</w:t>
      </w:r>
      <w:bookmarkEnd w:id="9"/>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综合分析2021年第一季度我校公布公告的专利类别，实用新型专利3件，发明公开专利14件，发明授权专利6件，具体情况参见图2。</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2021年第一季度专利类别分布</w:t>
      </w:r>
    </w:p>
    <w:p>
      <w:pPr>
        <w:numPr>
          <w:ilvl w:val="0"/>
          <w:numId w:val="0"/>
        </w:numPr>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74950"/>
            <wp:effectExtent l="4445" t="4445" r="14605" b="2095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0"/>
        <w:rPr>
          <w:rFonts w:hint="default" w:ascii="黑体" w:hAnsi="黑体" w:eastAsia="黑体" w:cs="黑体"/>
          <w:b/>
          <w:bCs/>
          <w:sz w:val="32"/>
          <w:szCs w:val="32"/>
          <w:lang w:val="en-US" w:eastAsia="zh-CN"/>
        </w:rPr>
      </w:pPr>
      <w:bookmarkStart w:id="10" w:name="_Toc29986"/>
      <w:r>
        <w:rPr>
          <w:rFonts w:hint="eastAsia" w:ascii="黑体" w:hAnsi="黑体" w:eastAsia="黑体" w:cs="黑体"/>
          <w:b/>
          <w:bCs/>
          <w:sz w:val="32"/>
          <w:szCs w:val="32"/>
          <w:lang w:val="en-US" w:eastAsia="zh-CN"/>
        </w:rPr>
        <w:t>3.学科分析</w:t>
      </w:r>
      <w:bookmarkEnd w:id="10"/>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综合分析2021年第一季度我校公布公告的专利学科关系，占比较多的学科有：农业工程5件，轻工业手工业4件，机械工业、化学、无线电电子学和仪器仪表工业各2件，具体详情参见图3。</w:t>
      </w: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2021年第一季度专利学科分布</w:t>
      </w:r>
    </w:p>
    <w:p>
      <w:pPr>
        <w:numPr>
          <w:ilvl w:val="0"/>
          <w:numId w:val="0"/>
        </w:numPr>
        <w:jc w:val="center"/>
        <w:rPr>
          <w:rFonts w:hint="default" w:ascii="仿宋" w:hAnsi="仿宋" w:eastAsia="仿宋" w:cs="仿宋"/>
          <w:b/>
          <w:bCs/>
          <w:color w:val="000000"/>
          <w:kern w:val="0"/>
          <w:sz w:val="24"/>
          <w:szCs w:val="24"/>
          <w:lang w:val="en-US" w:eastAsia="zh-CN" w:bidi="ar"/>
        </w:rPr>
      </w:pPr>
    </w:p>
    <w:p>
      <w:pPr>
        <w:numPr>
          <w:ilvl w:val="0"/>
          <w:numId w:val="0"/>
        </w:numPr>
        <w:jc w:val="center"/>
        <w:rPr>
          <w:rFonts w:hint="default"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outlineLvl w:val="0"/>
        <w:rPr>
          <w:rFonts w:hint="eastAsia" w:ascii="黑体" w:hAnsi="黑体" w:eastAsia="黑体" w:cs="黑体"/>
          <w:b/>
          <w:bCs/>
          <w:sz w:val="32"/>
          <w:szCs w:val="32"/>
          <w:lang w:val="en-US" w:eastAsia="zh-CN"/>
        </w:rPr>
      </w:pPr>
      <w:bookmarkStart w:id="11" w:name="_Toc12074"/>
    </w:p>
    <w:p>
      <w:pPr>
        <w:numPr>
          <w:ilvl w:val="0"/>
          <w:numId w:val="0"/>
        </w:numPr>
        <w:jc w:val="both"/>
        <w:outlineLvl w:val="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4.主题词分析</w:t>
      </w:r>
      <w:bookmarkEnd w:id="11"/>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第一季度我校公布公告的专利主题词，主要主题词中体细胞胚诱导、植株再生、制备方法、土木工程等主题词出现频率较高。次要主题词中固定连接为最高频次主题词，出现频次为两次，其余主题词频次均为一次。下图列举频次较高的主要主题词和次要主题词，具体分布参见图4和图5。</w:t>
      </w:r>
    </w:p>
    <w:p>
      <w:pPr>
        <w:numPr>
          <w:ilvl w:val="0"/>
          <w:numId w:val="0"/>
        </w:numPr>
        <w:spacing w:line="36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2021年第一季度主要主题词分布</w:t>
      </w:r>
    </w:p>
    <w:p>
      <w:pPr>
        <w:numPr>
          <w:ilvl w:val="0"/>
          <w:numId w:val="0"/>
        </w:numPr>
        <w:spacing w:line="360" w:lineRule="auto"/>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543175"/>
            <wp:effectExtent l="4445" t="4445" r="14605" b="508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2021年第一季度次要主题词分布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0"/>
        </w:numPr>
        <w:jc w:val="both"/>
        <w:rPr>
          <w:rFonts w:hint="eastAsia" w:ascii="黑体" w:hAnsi="黑体" w:eastAsia="黑体" w:cs="黑体"/>
          <w:b/>
          <w:bCs/>
          <w:sz w:val="32"/>
          <w:szCs w:val="32"/>
          <w:lang w:val="en-US" w:eastAsia="zh-CN"/>
        </w:rPr>
      </w:pPr>
      <w:bookmarkStart w:id="12" w:name="_Toc18980"/>
    </w:p>
    <w:p>
      <w:pPr>
        <w:numPr>
          <w:ilvl w:val="0"/>
          <w:numId w:val="0"/>
        </w:numPr>
        <w:jc w:val="both"/>
        <w:outlineLvl w:val="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5.发明人分析</w:t>
      </w:r>
      <w:bookmarkEnd w:id="12"/>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综合分析2021年第一季度我校公布公告的专利发明人，</w:t>
      </w:r>
      <w:r>
        <w:rPr>
          <w:rFonts w:hint="default" w:ascii="仿宋" w:hAnsi="仿宋" w:eastAsia="仿宋" w:cs="仿宋"/>
          <w:sz w:val="28"/>
          <w:szCs w:val="28"/>
          <w:lang w:val="en-US" w:eastAsia="zh-CN"/>
        </w:rPr>
        <w:t>发明人总计</w:t>
      </w:r>
      <w:r>
        <w:rPr>
          <w:rFonts w:hint="eastAsia" w:ascii="仿宋" w:hAnsi="仿宋" w:eastAsia="仿宋" w:cs="仿宋"/>
          <w:sz w:val="28"/>
          <w:szCs w:val="28"/>
          <w:lang w:val="en-US" w:eastAsia="zh-CN"/>
        </w:rPr>
        <w:t>76</w:t>
      </w:r>
      <w:r>
        <w:rPr>
          <w:rFonts w:hint="default" w:ascii="仿宋" w:hAnsi="仿宋" w:eastAsia="仿宋" w:cs="仿宋"/>
          <w:sz w:val="28"/>
          <w:szCs w:val="28"/>
          <w:lang w:val="en-US" w:eastAsia="zh-CN"/>
        </w:rPr>
        <w:t>人，参与</w:t>
      </w:r>
      <w:r>
        <w:rPr>
          <w:rFonts w:hint="eastAsia" w:ascii="仿宋" w:hAnsi="仿宋" w:eastAsia="仿宋" w:cs="仿宋"/>
          <w:sz w:val="28"/>
          <w:szCs w:val="28"/>
          <w:lang w:val="en-US" w:eastAsia="zh-CN"/>
        </w:rPr>
        <w:t>两</w:t>
      </w:r>
      <w:r>
        <w:rPr>
          <w:rFonts w:hint="default" w:ascii="仿宋" w:hAnsi="仿宋" w:eastAsia="仿宋" w:cs="仿宋"/>
          <w:sz w:val="28"/>
          <w:szCs w:val="28"/>
          <w:lang w:val="en-US" w:eastAsia="zh-CN"/>
        </w:rPr>
        <w:t>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16</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2021年第一季度专利发明人统</w:t>
      </w:r>
      <w:r>
        <w:rPr>
          <w:rFonts w:hint="eastAsia" w:ascii="仿宋" w:hAnsi="仿宋" w:eastAsia="仿宋" w:cs="仿宋"/>
          <w:b/>
          <w:bCs/>
          <w:color w:val="000000"/>
          <w:kern w:val="0"/>
          <w:sz w:val="24"/>
          <w:szCs w:val="24"/>
          <w:lang w:bidi="ar"/>
        </w:rPr>
        <w:t>计表</w:t>
      </w:r>
    </w:p>
    <w:tbl>
      <w:tblPr>
        <w:tblStyle w:val="5"/>
        <w:tblW w:w="4998" w:type="pct"/>
        <w:tblInd w:w="0" w:type="dxa"/>
        <w:shd w:val="clear" w:color="auto" w:fill="auto"/>
        <w:tblLayout w:type="autofit"/>
        <w:tblCellMar>
          <w:top w:w="0" w:type="dxa"/>
          <w:left w:w="0" w:type="dxa"/>
          <w:bottom w:w="0" w:type="dxa"/>
          <w:right w:w="0" w:type="dxa"/>
        </w:tblCellMar>
      </w:tblPr>
      <w:tblGrid>
        <w:gridCol w:w="1070"/>
        <w:gridCol w:w="1636"/>
        <w:gridCol w:w="1395"/>
        <w:gridCol w:w="1200"/>
        <w:gridCol w:w="1641"/>
        <w:gridCol w:w="1391"/>
      </w:tblGrid>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72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98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韩金玲</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吉志新</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9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李向岭</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10</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李军</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王健</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11</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石磊</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9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杨敏</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12</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孙德杰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杨晴</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13</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杨晓宽</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9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张敏</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14</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于建军</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98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常学东</w:t>
            </w:r>
          </w:p>
        </w:tc>
        <w:tc>
          <w:tcPr>
            <w:tcW w:w="8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15</w:t>
            </w:r>
          </w:p>
        </w:tc>
        <w:tc>
          <w:tcPr>
            <w:tcW w:w="98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张立新</w:t>
            </w:r>
          </w:p>
        </w:tc>
        <w:tc>
          <w:tcPr>
            <w:tcW w:w="83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6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9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邸浩</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16</w:t>
            </w:r>
          </w:p>
        </w:tc>
        <w:tc>
          <w:tcPr>
            <w:tcW w:w="98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张乃睿</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bl>
    <w:p>
      <w:pPr>
        <w:numPr>
          <w:ilvl w:val="0"/>
          <w:numId w:val="0"/>
        </w:numPr>
        <w:jc w:val="both"/>
        <w:rPr>
          <w:rFonts w:hint="eastAsia" w:ascii="仿宋" w:hAnsi="仿宋" w:eastAsia="仿宋" w:cs="仿宋"/>
          <w:b/>
          <w:bCs/>
          <w:sz w:val="22"/>
          <w:szCs w:val="2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13" w:name="_Toc14065"/>
    </w:p>
    <w:p>
      <w:pPr>
        <w:numPr>
          <w:ilvl w:val="0"/>
          <w:numId w:val="0"/>
        </w:numPr>
        <w:jc w:val="both"/>
        <w:outlineLvl w:val="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6.申请机构分析</w:t>
      </w:r>
      <w:bookmarkEnd w:id="13"/>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综合分析2021年第一季度我校公布公告的专利申请机构，河北科技师范学院申请专利21件，占比91.3%；河北科技师范学院联合其他机构申请专利2件，占比8.7%；具体分布参见图5。</w:t>
      </w:r>
    </w:p>
    <w:p>
      <w:pPr>
        <w:numPr>
          <w:ilvl w:val="0"/>
          <w:numId w:val="0"/>
        </w:numPr>
        <w:jc w:val="center"/>
        <w:rPr>
          <w:rFonts w:hint="eastAsia" w:ascii="仿宋" w:hAnsi="仿宋" w:eastAsia="仿宋" w:cs="仿宋"/>
          <w:b/>
          <w:bCs/>
          <w:sz w:val="24"/>
          <w:szCs w:val="24"/>
          <w:lang w:val="en-US" w:eastAsia="zh-CN"/>
        </w:rPr>
      </w:pPr>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2021年第一季度专利申请机构分布</w:t>
      </w:r>
      <w:bookmarkStart w:id="14" w:name="_Toc11400"/>
    </w:p>
    <w:p>
      <w:pPr>
        <w:numPr>
          <w:ilvl w:val="0"/>
          <w:numId w:val="0"/>
        </w:numPr>
        <w:spacing w:line="36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drawing>
          <wp:inline distT="0" distB="0" distL="114300" distR="114300">
            <wp:extent cx="4162425" cy="1838325"/>
            <wp:effectExtent l="0" t="0" r="9525" b="9525"/>
            <wp:docPr id="11" name="图片 11" descr="申请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申请机构"/>
                    <pic:cNvPicPr>
                      <a:picLocks noChangeAspect="1"/>
                    </pic:cNvPicPr>
                  </pic:nvPicPr>
                  <pic:blipFill>
                    <a:blip r:embed="rId11"/>
                    <a:stretch>
                      <a:fillRect/>
                    </a:stretch>
                  </pic:blipFill>
                  <pic:spPr>
                    <a:xfrm>
                      <a:off x="0" y="0"/>
                      <a:ext cx="4162425" cy="1838325"/>
                    </a:xfrm>
                    <a:prstGeom prst="rect">
                      <a:avLst/>
                    </a:prstGeom>
                  </pic:spPr>
                </pic:pic>
              </a:graphicData>
            </a:graphic>
          </wp:inline>
        </w:drawing>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7.代理机构分析</w:t>
      </w:r>
      <w:bookmarkEnd w:id="14"/>
    </w:p>
    <w:p>
      <w:pPr>
        <w:spacing w:line="48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综合分析2021年第一季度我校公布公告的23件专利，代理申请机构共14家，其中北京科亿知识产权代理事务所代理申请专利4件，数量最多，具体代理机构分布参见表3。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2021年第一季度专利代理机构统</w:t>
      </w:r>
      <w:r>
        <w:rPr>
          <w:rFonts w:hint="eastAsia" w:ascii="仿宋" w:hAnsi="仿宋" w:eastAsia="仿宋" w:cs="仿宋"/>
          <w:b/>
          <w:bCs/>
          <w:color w:val="000000"/>
          <w:kern w:val="0"/>
          <w:sz w:val="24"/>
          <w:szCs w:val="24"/>
          <w:lang w:bidi="ar"/>
        </w:rPr>
        <w:t>计表</w:t>
      </w:r>
    </w:p>
    <w:tbl>
      <w:tblPr>
        <w:tblStyle w:val="5"/>
        <w:tblW w:w="4998" w:type="pct"/>
        <w:tblInd w:w="0" w:type="dxa"/>
        <w:shd w:val="clear" w:color="auto" w:fill="auto"/>
        <w:tblLayout w:type="autofit"/>
        <w:tblCellMar>
          <w:top w:w="0" w:type="dxa"/>
          <w:left w:w="0" w:type="dxa"/>
          <w:bottom w:w="0" w:type="dxa"/>
          <w:right w:w="0" w:type="dxa"/>
        </w:tblCellMar>
      </w:tblPr>
      <w:tblGrid>
        <w:gridCol w:w="1562"/>
        <w:gridCol w:w="5073"/>
        <w:gridCol w:w="1698"/>
      </w:tblGrid>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3" w:type="pct"/>
            <w:tcBorders>
              <w:top w:val="single" w:color="000000" w:sz="4" w:space="0"/>
              <w:left w:val="nil"/>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中国和平利用军工技术协会专利中心</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北京汇捷知识产权代理事务所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北京慕达星云知识产权代理事务所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北京睿智保诚专利代理事务所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石家庄知住优创知识产权代理事务所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天津市北洋有限责任专利代理事务所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西安铭泽知识产权代理事务所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北京方圆嘉禾知识产权代理有限公司</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北京科亿知识产权代理事务所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北京一格知识产权代理事务所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秦皇岛市维信专利事务所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无锡睿升知识产权代理事务所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5073" w:type="dxa"/>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西安汇恩知识产权代理事务所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r>
        <w:tblPrEx>
          <w:shd w:val="clear" w:color="auto" w:fill="auto"/>
        </w:tblPrEx>
        <w:trPr>
          <w:trHeight w:val="560" w:hRule="atLeast"/>
        </w:trPr>
        <w:tc>
          <w:tcPr>
            <w:tcW w:w="9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507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4B4B4B"/>
                <w:sz w:val="24"/>
                <w:szCs w:val="24"/>
                <w:u w:val="none"/>
              </w:rPr>
            </w:pPr>
            <w:r>
              <w:rPr>
                <w:rFonts w:hint="eastAsia" w:ascii="仿宋" w:hAnsi="仿宋" w:eastAsia="仿宋" w:cs="仿宋"/>
                <w:i w:val="0"/>
                <w:iCs w:val="0"/>
                <w:color w:val="000000"/>
                <w:kern w:val="0"/>
                <w:sz w:val="24"/>
                <w:szCs w:val="24"/>
                <w:u w:val="none"/>
                <w:lang w:val="en-US" w:eastAsia="zh-CN" w:bidi="ar"/>
              </w:rPr>
              <w:t>郑州豫原知识产权代理事务所</w:t>
            </w:r>
          </w:p>
        </w:tc>
        <w:tc>
          <w:tcPr>
            <w:tcW w:w="1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4B4B4B"/>
                <w:kern w:val="0"/>
                <w:sz w:val="24"/>
                <w:szCs w:val="24"/>
                <w:u w:val="none"/>
                <w:lang w:val="en-US" w:eastAsia="zh-CN" w:bidi="ar"/>
              </w:rPr>
              <w:t>1</w:t>
            </w:r>
          </w:p>
        </w:tc>
      </w:tr>
    </w:tbl>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eastAsia" w:ascii="仿宋" w:hAnsi="仿宋" w:eastAsia="仿宋" w:cs="仿宋"/>
          <w:sz w:val="28"/>
          <w:szCs w:val="28"/>
          <w:lang w:val="en-US" w:eastAsia="zh-CN"/>
        </w:rPr>
      </w:pPr>
    </w:p>
    <w:p>
      <w:pPr>
        <w:numPr>
          <w:ilvl w:val="0"/>
          <w:numId w:val="0"/>
        </w:numPr>
        <w:ind w:leftChars="0"/>
        <w:jc w:val="both"/>
        <w:outlineLvl w:val="0"/>
        <w:rPr>
          <w:rFonts w:hint="default" w:ascii="黑体" w:hAnsi="黑体" w:eastAsia="黑体" w:cs="黑体"/>
          <w:b/>
          <w:bCs/>
          <w:sz w:val="32"/>
          <w:szCs w:val="32"/>
          <w:lang w:val="en-US" w:eastAsia="zh-CN"/>
        </w:rPr>
      </w:pPr>
      <w:bookmarkStart w:id="15" w:name="_Toc30779"/>
      <w:r>
        <w:rPr>
          <w:rFonts w:hint="eastAsia" w:ascii="黑体" w:hAnsi="黑体" w:eastAsia="黑体" w:cs="黑体"/>
          <w:b/>
          <w:bCs/>
          <w:sz w:val="32"/>
          <w:szCs w:val="32"/>
          <w:lang w:val="en-US" w:eastAsia="zh-CN"/>
        </w:rPr>
        <w:t>8.综合分析</w:t>
      </w:r>
      <w:bookmarkEnd w:id="15"/>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4"/>
          <w:szCs w:val="24"/>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rPr>
        <w:t>20</w:t>
      </w:r>
      <w:r>
        <w:rPr>
          <w:rFonts w:hint="eastAsia" w:ascii="仿宋" w:hAnsi="仿宋" w:eastAsia="仿宋" w:cs="仿宋"/>
          <w:sz w:val="28"/>
          <w:szCs w:val="28"/>
          <w:lang w:val="en-US" w:eastAsia="zh-CN"/>
        </w:rPr>
        <w:t>21年第一季度以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主题词、发明人、申请机构、代理机构七大方面进行了具体分析和阐述，希望通过提供基础数据和文献分析，进一步揭示我校专利发展水平和发展趋势，为推动学校科研发展尽绵薄之力。</w:t>
      </w:r>
    </w:p>
    <w:p>
      <w:pPr>
        <w:spacing w:line="480" w:lineRule="auto"/>
        <w:outlineLvl w:val="0"/>
        <w:rPr>
          <w:rFonts w:hint="eastAsia" w:ascii="仿宋" w:hAnsi="仿宋" w:eastAsia="仿宋" w:cs="仿宋"/>
          <w:b/>
          <w:bCs/>
          <w:sz w:val="28"/>
          <w:szCs w:val="28"/>
        </w:rPr>
      </w:pPr>
      <w:bookmarkStart w:id="16" w:name="_Toc7759"/>
      <w:bookmarkStart w:id="17" w:name="_Toc32199"/>
    </w:p>
    <w:p>
      <w:pPr>
        <w:spacing w:line="480" w:lineRule="auto"/>
        <w:outlineLvl w:val="0"/>
        <w:rPr>
          <w:rFonts w:hint="eastAsia" w:ascii="仿宋" w:hAnsi="仿宋" w:eastAsia="仿宋" w:cs="仿宋"/>
          <w:b/>
          <w:bCs/>
          <w:sz w:val="28"/>
          <w:szCs w:val="28"/>
        </w:rPr>
      </w:pPr>
      <w:bookmarkStart w:id="18" w:name="_Toc11883"/>
    </w:p>
    <w:p>
      <w:pPr>
        <w:spacing w:line="480" w:lineRule="auto"/>
        <w:outlineLvl w:val="0"/>
        <w:rPr>
          <w:rFonts w:hint="eastAsia" w:ascii="仿宋" w:hAnsi="仿宋" w:eastAsia="仿宋" w:cs="仿宋"/>
          <w:b/>
          <w:bCs/>
          <w:sz w:val="28"/>
          <w:szCs w:val="28"/>
        </w:rPr>
      </w:pPr>
    </w:p>
    <w:p>
      <w:pPr>
        <w:spacing w:line="480" w:lineRule="auto"/>
        <w:outlineLvl w:val="0"/>
        <w:rPr>
          <w:rFonts w:hint="eastAsia" w:ascii="仿宋" w:hAnsi="仿宋" w:eastAsia="仿宋" w:cs="仿宋"/>
          <w:b/>
          <w:bCs/>
          <w:sz w:val="28"/>
          <w:szCs w:val="28"/>
        </w:rPr>
      </w:pPr>
    </w:p>
    <w:p>
      <w:pPr>
        <w:spacing w:line="480" w:lineRule="auto"/>
        <w:outlineLvl w:val="0"/>
        <w:rPr>
          <w:rFonts w:hint="eastAsia" w:ascii="仿宋" w:hAnsi="仿宋" w:eastAsia="仿宋" w:cs="仿宋"/>
          <w:b/>
          <w:bCs/>
          <w:sz w:val="28"/>
          <w:szCs w:val="28"/>
        </w:rPr>
      </w:pPr>
    </w:p>
    <w:p>
      <w:pPr>
        <w:spacing w:line="480" w:lineRule="auto"/>
        <w:outlineLvl w:val="0"/>
        <w:rPr>
          <w:rFonts w:hint="eastAsia" w:ascii="仿宋" w:hAnsi="仿宋" w:eastAsia="仿宋" w:cs="仿宋"/>
          <w:b/>
          <w:bCs/>
          <w:sz w:val="28"/>
          <w:szCs w:val="28"/>
        </w:rPr>
      </w:pPr>
    </w:p>
    <w:p>
      <w:pPr>
        <w:spacing w:line="480" w:lineRule="auto"/>
        <w:outlineLvl w:val="0"/>
        <w:rPr>
          <w:rFonts w:hint="eastAsia" w:ascii="仿宋" w:hAnsi="仿宋" w:eastAsia="仿宋" w:cs="仿宋"/>
          <w:b/>
          <w:bCs/>
          <w:sz w:val="28"/>
          <w:szCs w:val="28"/>
        </w:rPr>
      </w:pPr>
    </w:p>
    <w:p>
      <w:pPr>
        <w:spacing w:line="480" w:lineRule="auto"/>
        <w:outlineLvl w:val="0"/>
        <w:rPr>
          <w:rFonts w:hint="eastAsia" w:ascii="仿宋" w:hAnsi="仿宋" w:eastAsia="仿宋" w:cs="仿宋"/>
          <w:b/>
          <w:bCs/>
          <w:sz w:val="28"/>
          <w:szCs w:val="28"/>
        </w:rPr>
      </w:pPr>
    </w:p>
    <w:p>
      <w:pPr>
        <w:spacing w:line="480" w:lineRule="auto"/>
        <w:outlineLvl w:val="0"/>
        <w:rPr>
          <w:rFonts w:hint="eastAsia" w:ascii="仿宋" w:hAnsi="仿宋" w:eastAsia="仿宋" w:cs="仿宋"/>
          <w:sz w:val="28"/>
          <w:szCs w:val="28"/>
        </w:rPr>
      </w:pPr>
      <w:r>
        <w:rPr>
          <w:rFonts w:hint="eastAsia" w:ascii="仿宋" w:hAnsi="仿宋" w:eastAsia="仿宋" w:cs="仿宋"/>
          <w:b/>
          <w:bCs/>
          <w:sz w:val="28"/>
          <w:szCs w:val="28"/>
        </w:rPr>
        <w:t>数据来源</w:t>
      </w:r>
      <w:bookmarkEnd w:id="16"/>
      <w:bookmarkEnd w:id="17"/>
      <w:bookmarkEnd w:id="18"/>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8</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数据统计下载截止日期为20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6</w:t>
      </w:r>
      <w:r>
        <w:rPr>
          <w:rFonts w:hint="eastAsia" w:ascii="仿宋" w:hAnsi="仿宋" w:eastAsia="仿宋" w:cs="仿宋"/>
          <w:sz w:val="28"/>
          <w:szCs w:val="28"/>
        </w:rPr>
        <w:t>月</w:t>
      </w:r>
      <w:r>
        <w:rPr>
          <w:rFonts w:hint="eastAsia" w:ascii="仿宋" w:hAnsi="仿宋" w:eastAsia="仿宋" w:cs="仿宋"/>
          <w:sz w:val="28"/>
          <w:szCs w:val="28"/>
          <w:lang w:val="en-US" w:eastAsia="zh-CN"/>
        </w:rPr>
        <w:t>8</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19" w:name="_Toc20858"/>
      <w:bookmarkStart w:id="20" w:name="_Toc31217"/>
      <w:bookmarkStart w:id="21" w:name="_Toc9203"/>
      <w:r>
        <w:rPr>
          <w:rFonts w:hint="eastAsia" w:ascii="仿宋" w:hAnsi="仿宋" w:eastAsia="仿宋" w:cs="仿宋"/>
          <w:b/>
          <w:bCs/>
          <w:sz w:val="28"/>
          <w:szCs w:val="28"/>
        </w:rPr>
        <w:t>数据处理</w:t>
      </w:r>
      <w:bookmarkEnd w:id="19"/>
      <w:bookmarkEnd w:id="20"/>
      <w:bookmarkEnd w:id="21"/>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22" w:name="_Toc29516"/>
      <w:bookmarkStart w:id="23" w:name="_Toc3908"/>
      <w:bookmarkStart w:id="24" w:name="_Toc17869"/>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22"/>
      <w:bookmarkEnd w:id="23"/>
      <w:bookmarkEnd w:id="24"/>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25" w:name="_Toc27907"/>
      <w:bookmarkStart w:id="26" w:name="_Toc5698"/>
      <w:bookmarkStart w:id="27" w:name="_Toc2529"/>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25"/>
      <w:bookmarkEnd w:id="26"/>
      <w:bookmarkEnd w:id="27"/>
    </w:p>
    <w:p>
      <w:pPr>
        <w:spacing w:line="480" w:lineRule="auto"/>
        <w:ind w:left="360"/>
        <w:jc w:val="left"/>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default" w:ascii="仿宋" w:hAnsi="仿宋" w:eastAsia="仿宋" w:cs="仿宋"/>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4D3CA4"/>
    <w:rsid w:val="01685C19"/>
    <w:rsid w:val="07182F9B"/>
    <w:rsid w:val="09B42C43"/>
    <w:rsid w:val="09E17A48"/>
    <w:rsid w:val="0A3209E3"/>
    <w:rsid w:val="0BB50369"/>
    <w:rsid w:val="0CF25BED"/>
    <w:rsid w:val="0E8B2048"/>
    <w:rsid w:val="0F7D3CB0"/>
    <w:rsid w:val="0FC565CF"/>
    <w:rsid w:val="12A07991"/>
    <w:rsid w:val="145E26DF"/>
    <w:rsid w:val="15940FE0"/>
    <w:rsid w:val="183362FA"/>
    <w:rsid w:val="18D45E15"/>
    <w:rsid w:val="194D0490"/>
    <w:rsid w:val="19637F68"/>
    <w:rsid w:val="1B3905FE"/>
    <w:rsid w:val="1C191511"/>
    <w:rsid w:val="1C6A49DF"/>
    <w:rsid w:val="218D2CEB"/>
    <w:rsid w:val="23F7738B"/>
    <w:rsid w:val="24E20219"/>
    <w:rsid w:val="25A3244A"/>
    <w:rsid w:val="26103455"/>
    <w:rsid w:val="29235777"/>
    <w:rsid w:val="29C2197B"/>
    <w:rsid w:val="2A9068F5"/>
    <w:rsid w:val="2C962685"/>
    <w:rsid w:val="2CF34017"/>
    <w:rsid w:val="2E5C7862"/>
    <w:rsid w:val="2F9430FA"/>
    <w:rsid w:val="2FFB2754"/>
    <w:rsid w:val="30377616"/>
    <w:rsid w:val="3315234D"/>
    <w:rsid w:val="34057E68"/>
    <w:rsid w:val="34DE478A"/>
    <w:rsid w:val="359B42B5"/>
    <w:rsid w:val="39636579"/>
    <w:rsid w:val="3D0965CD"/>
    <w:rsid w:val="3DAD5057"/>
    <w:rsid w:val="3E4F15BC"/>
    <w:rsid w:val="403B1B74"/>
    <w:rsid w:val="404B3271"/>
    <w:rsid w:val="40C9212B"/>
    <w:rsid w:val="44347697"/>
    <w:rsid w:val="473F0949"/>
    <w:rsid w:val="47766676"/>
    <w:rsid w:val="48451CC9"/>
    <w:rsid w:val="49A67BF5"/>
    <w:rsid w:val="4E183EA3"/>
    <w:rsid w:val="50A17799"/>
    <w:rsid w:val="52565734"/>
    <w:rsid w:val="5910311B"/>
    <w:rsid w:val="5B3C4B32"/>
    <w:rsid w:val="5F2707BA"/>
    <w:rsid w:val="600B67F4"/>
    <w:rsid w:val="607A1266"/>
    <w:rsid w:val="64E45CBF"/>
    <w:rsid w:val="668B0E89"/>
    <w:rsid w:val="6BA96EB9"/>
    <w:rsid w:val="6BFE49CE"/>
    <w:rsid w:val="6C5D3223"/>
    <w:rsid w:val="6DCA01B5"/>
    <w:rsid w:val="7026593E"/>
    <w:rsid w:val="72597D20"/>
    <w:rsid w:val="73DB124A"/>
    <w:rsid w:val="76A82190"/>
    <w:rsid w:val="777671FE"/>
    <w:rsid w:val="786F0052"/>
    <w:rsid w:val="78C50E4E"/>
    <w:rsid w:val="791B6720"/>
    <w:rsid w:val="7B612381"/>
    <w:rsid w:val="7BFD7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customStyle="1" w:styleId="7">
    <w:name w:val="WPSOffice手动目录 1"/>
    <w:qFormat/>
    <w:uiPriority w:val="0"/>
    <w:pPr>
      <w:ind w:leftChars="0"/>
    </w:pPr>
    <w:rPr>
      <w:rFonts w:ascii="Times New Roman" w:hAnsi="Times New Roman" w:eastAsia="宋体" w:cs="Times New Roman"/>
      <w:sz w:val="20"/>
      <w:szCs w:val="20"/>
    </w:rPr>
  </w:style>
  <w:style w:type="paragraph" w:styleId="8">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H:\4.&#23398;&#31185;&#20998;&#26512;&#25253;&#21578;\2021&#31532;&#19968;&#23395;&#24230;&#19987;&#21033;&#24773;&#20917;&#32479;&#35745;\2021&#31532;&#19968;&#23395;&#24230;&#19987;&#2103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4.&#23398;&#31185;&#20998;&#26512;&#25253;&#21578;\2021&#31532;&#19968;&#23395;&#24230;&#19987;&#21033;&#24773;&#20917;&#32479;&#35745;\2021&#31532;&#19968;&#23395;&#24230;&#19987;&#2103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4.&#23398;&#31185;&#20998;&#26512;&#25253;&#21578;\2021&#31532;&#19968;&#23395;&#24230;&#19987;&#21033;&#24773;&#20917;&#32479;&#35745;\2021&#31532;&#19968;&#23395;&#24230;&#19987;&#21033;.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4.&#23398;&#31185;&#20998;&#26512;&#25253;&#21578;\2021&#31532;&#19968;&#23395;&#24230;&#19987;&#21033;&#24773;&#20917;&#32479;&#35745;\2021&#31532;&#19968;&#23395;&#24230;&#19987;&#21033;.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4.&#23398;&#31185;&#20998;&#26512;&#25253;&#21578;\2021&#31532;&#19968;&#23395;&#24230;&#19987;&#21033;&#24773;&#20917;&#32479;&#35745;\2021&#31532;&#19968;&#23395;&#24230;&#19987;&#210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'[2021第一季度专利.xlsx]1.数量分析'!$E$2:$E$4</c:f>
              <c:strCache>
                <c:ptCount val="3"/>
                <c:pt idx="0" c:formatCode="@">
                  <c:v>2021年1月</c:v>
                </c:pt>
                <c:pt idx="1" c:formatCode="@">
                  <c:v>2021年2月</c:v>
                </c:pt>
                <c:pt idx="2" c:formatCode="@">
                  <c:v>2021年3月</c:v>
                </c:pt>
              </c:strCache>
            </c:strRef>
          </c:cat>
          <c:val>
            <c:numRef>
              <c:f>'[2021第一季度专利.xlsx]1.数量分析'!$F$2:$F$4</c:f>
              <c:numCache>
                <c:formatCode>General</c:formatCode>
                <c:ptCount val="3"/>
                <c:pt idx="0">
                  <c:v>11</c:v>
                </c:pt>
                <c:pt idx="1">
                  <c:v>5</c:v>
                </c:pt>
                <c:pt idx="2">
                  <c:v>7</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467763556"/>
        <c:axId val="536007765"/>
      </c:lineChart>
      <c:catAx>
        <c:axId val="467763556"/>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536007765"/>
        <c:crosses val="autoZero"/>
        <c:auto val="1"/>
        <c:lblAlgn val="ctr"/>
        <c:lblOffset val="100"/>
        <c:noMultiLvlLbl val="0"/>
      </c:catAx>
      <c:valAx>
        <c:axId val="53600776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4677635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'[2021第一季度专利.xlsx]2.专利类别'!$D$2:$D$4</c:f>
              <c:strCache>
                <c:ptCount val="3"/>
                <c:pt idx="0">
                  <c:v>实用新型</c:v>
                </c:pt>
                <c:pt idx="1">
                  <c:v>发明公开</c:v>
                </c:pt>
                <c:pt idx="2">
                  <c:v>发明授权</c:v>
                </c:pt>
              </c:strCache>
            </c:strRef>
          </c:cat>
          <c:val>
            <c:numRef>
              <c:f>'[2021第一季度专利.xlsx]2.专利类别'!$E$2:$E$4</c:f>
              <c:numCache>
                <c:formatCode>General</c:formatCode>
                <c:ptCount val="3"/>
                <c:pt idx="0">
                  <c:v>3</c:v>
                </c:pt>
                <c:pt idx="1">
                  <c:v>14</c:v>
                </c:pt>
                <c:pt idx="2">
                  <c:v>6</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'[2021第一季度专利.xlsx]3.学科'!$A$13:$A$28</c:f>
              <c:strCache>
                <c:ptCount val="16"/>
                <c:pt idx="0">
                  <c:v>轻工业手工业</c:v>
                </c:pt>
                <c:pt idx="1">
                  <c:v>化学</c:v>
                </c:pt>
                <c:pt idx="2">
                  <c:v>农艺学</c:v>
                </c:pt>
                <c:pt idx="3">
                  <c:v>材料科学</c:v>
                </c:pt>
                <c:pt idx="4">
                  <c:v>电力工业</c:v>
                </c:pt>
                <c:pt idx="5">
                  <c:v>有机化学</c:v>
                </c:pt>
                <c:pt idx="6">
                  <c:v>工业通用技术及设备</c:v>
                </c:pt>
                <c:pt idx="7">
                  <c:v>园艺</c:v>
                </c:pt>
                <c:pt idx="8">
                  <c:v>农业工程</c:v>
                </c:pt>
                <c:pt idx="9">
                  <c:v>无机化学</c:v>
                </c:pt>
                <c:pt idx="10">
                  <c:v>农作物</c:v>
                </c:pt>
                <c:pt idx="11">
                  <c:v>环境科学与资源利用</c:v>
                </c:pt>
                <c:pt idx="12">
                  <c:v>冶金工业</c:v>
                </c:pt>
                <c:pt idx="13">
                  <c:v>机械工业</c:v>
                </c:pt>
                <c:pt idx="14">
                  <c:v>自动化技术</c:v>
                </c:pt>
                <c:pt idx="15">
                  <c:v>计算机软件及计算机技术</c:v>
                </c:pt>
              </c:strCache>
            </c:strRef>
          </c:cat>
          <c:val>
            <c:numRef>
              <c:f>'[2021第一季度专利.xlsx]3.学科'!$B$13:$B$28</c:f>
              <c:numCache>
                <c:formatCode>General</c:formatCode>
                <c:ptCount val="16"/>
                <c:pt idx="0">
                  <c:v>4</c:v>
                </c:pt>
                <c:pt idx="1">
                  <c:v>3</c:v>
                </c:pt>
                <c:pt idx="2">
                  <c:v>3</c:v>
                </c:pt>
                <c:pt idx="3">
                  <c:v>2</c:v>
                </c:pt>
                <c:pt idx="4">
                  <c:v>2</c:v>
                </c:pt>
                <c:pt idx="5">
                  <c:v>2</c:v>
                </c:pt>
                <c:pt idx="6">
                  <c:v>1</c:v>
                </c:pt>
                <c:pt idx="7">
                  <c:v>1</c:v>
                </c:pt>
                <c:pt idx="8">
                  <c:v>1</c:v>
                </c:pt>
                <c:pt idx="9">
                  <c:v>1</c:v>
                </c:pt>
                <c:pt idx="10">
                  <c:v>1</c:v>
                </c:pt>
                <c:pt idx="11">
                  <c:v>1</c:v>
                </c:pt>
                <c:pt idx="12">
                  <c:v>1</c:v>
                </c:pt>
                <c:pt idx="13">
                  <c:v>1</c:v>
                </c:pt>
                <c:pt idx="14">
                  <c:v>1</c:v>
                </c:pt>
                <c:pt idx="15">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'[2021第一季度专利.xlsx]4.主题'!$A$15:$A$18</c:f>
              <c:strCache>
                <c:ptCount val="4"/>
                <c:pt idx="0">
                  <c:v>体细胞胚诱导</c:v>
                </c:pt>
                <c:pt idx="1">
                  <c:v>植株再生</c:v>
                </c:pt>
                <c:pt idx="2">
                  <c:v>制备方法</c:v>
                </c:pt>
                <c:pt idx="3">
                  <c:v>土木工程</c:v>
                </c:pt>
              </c:strCache>
            </c:strRef>
          </c:cat>
          <c:val>
            <c:numRef>
              <c:f>'[2021第一季度专利.xlsx]4.主题'!$B$15:$B$18</c:f>
              <c:numCache>
                <c:formatCode>General</c:formatCode>
                <c:ptCount val="4"/>
                <c:pt idx="0">
                  <c:v>3</c:v>
                </c:pt>
                <c:pt idx="1">
                  <c:v>3</c:v>
                </c:pt>
                <c:pt idx="2">
                  <c:v>3</c:v>
                </c:pt>
                <c:pt idx="3">
                  <c:v>2</c:v>
                </c:pt>
              </c:numCache>
            </c:numRef>
          </c:val>
        </c:ser>
        <c:dLbls>
          <c:showLegendKey val="0"/>
          <c:showVal val="1"/>
          <c:showCatName val="0"/>
          <c:showSerName val="0"/>
          <c:showPercent val="0"/>
          <c:showBubbleSize val="0"/>
        </c:dLbls>
        <c:gapWidth val="219"/>
        <c:overlap val="-27"/>
        <c:axId val="594015335"/>
        <c:axId val="673508697"/>
      </c:barChart>
      <c:catAx>
        <c:axId val="5940153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3508697"/>
        <c:crosses val="autoZero"/>
        <c:auto val="1"/>
        <c:lblAlgn val="ctr"/>
        <c:lblOffset val="100"/>
        <c:noMultiLvlLbl val="0"/>
      </c:catAx>
      <c:valAx>
        <c:axId val="67350869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主要主题频次</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4015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'[2021第一季度专利.xlsx]4.主题'!$H$29:$H$31</c:f>
              <c:strCache>
                <c:ptCount val="3"/>
                <c:pt idx="0">
                  <c:v>固定连接</c:v>
                </c:pt>
                <c:pt idx="1">
                  <c:v>TiO</c:v>
                </c:pt>
                <c:pt idx="2">
                  <c:v>胚性愈伤组织</c:v>
                </c:pt>
              </c:strCache>
            </c:strRef>
          </c:cat>
          <c:val>
            <c:numRef>
              <c:f>'[2021第一季度专利.xlsx]4.主题'!$I$29:$I$31</c:f>
              <c:numCache>
                <c:formatCode>General</c:formatCode>
                <c:ptCount val="3"/>
                <c:pt idx="0">
                  <c:v>2</c:v>
                </c:pt>
                <c:pt idx="1">
                  <c:v>1</c:v>
                </c:pt>
                <c:pt idx="2">
                  <c:v>1</c:v>
                </c:pt>
              </c:numCache>
            </c:numRef>
          </c:val>
        </c:ser>
        <c:dLbls>
          <c:showLegendKey val="0"/>
          <c:showVal val="1"/>
          <c:showCatName val="0"/>
          <c:showSerName val="0"/>
          <c:showPercent val="0"/>
          <c:showBubbleSize val="0"/>
        </c:dLbls>
        <c:gapWidth val="219"/>
        <c:overlap val="-27"/>
        <c:axId val="850484785"/>
        <c:axId val="619435774"/>
      </c:barChart>
      <c:catAx>
        <c:axId val="85048478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9435774"/>
        <c:crosses val="autoZero"/>
        <c:auto val="1"/>
        <c:lblAlgn val="ctr"/>
        <c:lblOffset val="100"/>
        <c:noMultiLvlLbl val="0"/>
      </c:catAx>
      <c:valAx>
        <c:axId val="61943577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次要主题频次</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048478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1681</Words>
  <Characters>1806</Characters>
  <Lines>0</Lines>
  <Paragraphs>0</Paragraphs>
  <TotalTime>6</TotalTime>
  <ScaleCrop>false</ScaleCrop>
  <LinksUpToDate>false</LinksUpToDate>
  <CharactersWithSpaces>1848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2020-10-04T06:53:00Z</dcterms:created>
  <dc:creator>Administrator</dc:creator>
  <cp:lastModifiedBy>ym</cp:lastModifiedBy>
  <dcterms:modified xsi:type="dcterms:W3CDTF">2023-04-13T03:24:08Z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283202343150454C9EA6F84D4A8ED49C</vt:lpwstr>
  </property>
</Properties>
</file>