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4" name="等腰三角形 4"/>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KvzSk0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r7DszdAAAADgEAAA8AAAAAAAAA&#10;AQAgAAAAIgAAAGRycy9kb3ducmV2LnhtbFBLAQIUABQAAAAIAIdO4kAwgi0j0wEAAIoDAAAOAAAA&#10;AAAAAAEAIAAAACwBAABkcnMvZTJvRG9jLnhtbFBLBQYAAAAABgAGAFkBAABxBQ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11</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2021年第三季度发文分析报告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2021年第三季度发文分析报告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9"/>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9"/>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2"/>
            <w:tabs>
              <w:tab w:val="right" w:leader="dot" w:pos="8306"/>
            </w:tabs>
          </w:pP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_Toc27124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_Toc27124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_Toc9429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_Toc9429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_Toc13797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_Toc13797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_Toc12813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_Toc12813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_Toc18807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_Toc26895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_Toc14671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_Toc14671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_Toc20070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_Toc20070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_Toc11027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_Toc11027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_Toc7297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_Toc6485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_Toc6485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_Toc30132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_Toc30132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_Toc21873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_Toc20317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_Toc28452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_Toc7259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_Toc7259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_Toc3968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_Toc3968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bookmarkStart w:id="1" w:name="_Toc10099"/>
      <w:r>
        <w:rPr>
          <w:rFonts w:hint="eastAsia" w:ascii="宋体" w:hAnsi="宋体" w:eastAsia="宋体" w:cs="宋体"/>
          <w:b/>
          <w:bCs/>
          <w:sz w:val="24"/>
          <w:szCs w:val="24"/>
        </w:rPr>
        <w:t>数据来源</w:t>
      </w:r>
      <w:bookmarkEnd w:id="0"/>
      <w:bookmarkEnd w:id="1"/>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33</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2021</w:t>
      </w:r>
      <w:r>
        <w:rPr>
          <w:rFonts w:hint="eastAsia" w:ascii="宋体" w:hAnsi="宋体" w:eastAsia="宋体" w:cs="宋体"/>
          <w:sz w:val="24"/>
          <w:szCs w:val="24"/>
        </w:rPr>
        <w:t>年</w:t>
      </w:r>
      <w:r>
        <w:rPr>
          <w:rFonts w:hint="eastAsia" w:ascii="宋体" w:hAnsi="宋体" w:eastAsia="宋体" w:cs="宋体"/>
          <w:sz w:val="24"/>
          <w:szCs w:val="24"/>
          <w:lang w:val="en-US" w:eastAsia="zh-CN"/>
        </w:rPr>
        <w:t>11</w:t>
      </w:r>
      <w:r>
        <w:rPr>
          <w:rFonts w:hint="eastAsia" w:ascii="宋体" w:hAnsi="宋体" w:eastAsia="宋体" w:cs="宋体"/>
          <w:sz w:val="24"/>
          <w:szCs w:val="24"/>
        </w:rPr>
        <w:t>月</w:t>
      </w:r>
      <w:r>
        <w:rPr>
          <w:rFonts w:hint="eastAsia" w:ascii="宋体" w:hAnsi="宋体" w:eastAsia="宋体" w:cs="宋体"/>
          <w:sz w:val="24"/>
          <w:szCs w:val="24"/>
          <w:lang w:val="en-US" w:eastAsia="zh-CN"/>
        </w:rPr>
        <w:t>9</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2" w:name="_Toc9355"/>
      <w:bookmarkStart w:id="3" w:name="_Toc27687"/>
      <w:r>
        <w:rPr>
          <w:rFonts w:hint="eastAsia" w:ascii="宋体" w:hAnsi="宋体" w:eastAsia="宋体" w:cs="宋体"/>
          <w:b/>
          <w:bCs/>
          <w:sz w:val="24"/>
          <w:szCs w:val="24"/>
        </w:rPr>
        <w:t>数据处理</w:t>
      </w:r>
      <w:bookmarkEnd w:id="2"/>
      <w:bookmarkEnd w:id="3"/>
    </w:p>
    <w:p>
      <w:pPr>
        <w:spacing w:line="480" w:lineRule="auto"/>
        <w:ind w:firstLine="480" w:firstLineChars="200"/>
        <w:outlineLvl w:val="0"/>
        <w:rPr>
          <w:rFonts w:hint="eastAsia" w:ascii="宋体" w:hAnsi="宋体" w:eastAsia="宋体" w:cs="宋体"/>
          <w:sz w:val="24"/>
          <w:szCs w:val="24"/>
        </w:rPr>
      </w:pPr>
      <w:bookmarkStart w:id="4"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4"/>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5" w:name="_Toc30686"/>
      <w:bookmarkStart w:id="6"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5"/>
      <w:bookmarkEnd w:id="6"/>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7" w:name="_Toc13037"/>
      <w:bookmarkStart w:id="8"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7"/>
      <w:bookmarkEnd w:id="8"/>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9" w:name="_Toc7382"/>
      <w:bookmarkStart w:id="10" w:name="_Toc10613"/>
      <w:bookmarkStart w:id="11" w:name="_Toc9858"/>
      <w:r>
        <w:rPr>
          <w:rFonts w:hint="eastAsia" w:ascii="黑体" w:hAnsi="黑体" w:eastAsia="黑体" w:cs="黑体"/>
          <w:b/>
          <w:bCs/>
          <w:sz w:val="44"/>
          <w:szCs w:val="44"/>
          <w:lang w:val="en-US" w:eastAsia="zh-CN"/>
        </w:rPr>
        <w:t>河北科技师范学院</w:t>
      </w:r>
      <w:bookmarkEnd w:id="9"/>
      <w:bookmarkEnd w:id="10"/>
      <w:bookmarkEnd w:id="11"/>
    </w:p>
    <w:p>
      <w:pPr>
        <w:jc w:val="center"/>
        <w:outlineLvl w:val="0"/>
        <w:rPr>
          <w:rFonts w:hint="eastAsia" w:ascii="黑体" w:hAnsi="黑体" w:eastAsia="黑体" w:cs="黑体"/>
          <w:b/>
          <w:bCs/>
          <w:sz w:val="44"/>
          <w:szCs w:val="44"/>
          <w:lang w:val="en-US" w:eastAsia="zh-CN"/>
        </w:rPr>
      </w:pPr>
      <w:bookmarkStart w:id="12" w:name="_Toc9198"/>
      <w:bookmarkStart w:id="13" w:name="_Toc8013"/>
      <w:bookmarkStart w:id="14" w:name="_Toc15096"/>
      <w:r>
        <w:rPr>
          <w:rFonts w:hint="eastAsia" w:ascii="黑体" w:hAnsi="黑体" w:eastAsia="黑体" w:cs="黑体"/>
          <w:b/>
          <w:bCs/>
          <w:sz w:val="44"/>
          <w:szCs w:val="44"/>
          <w:lang w:val="en-US" w:eastAsia="zh-CN"/>
        </w:rPr>
        <w:t>2021年第三季度发文</w:t>
      </w:r>
      <w:bookmarkStart w:id="50" w:name="_GoBack"/>
      <w:bookmarkEnd w:id="50"/>
      <w:r>
        <w:rPr>
          <w:rFonts w:hint="eastAsia" w:ascii="黑体" w:hAnsi="黑体" w:eastAsia="黑体" w:cs="黑体"/>
          <w:b/>
          <w:bCs/>
          <w:sz w:val="44"/>
          <w:szCs w:val="44"/>
          <w:lang w:val="en-US" w:eastAsia="zh-CN"/>
        </w:rPr>
        <w:t>分析报告</w:t>
      </w:r>
      <w:bookmarkEnd w:id="12"/>
      <w:bookmarkEnd w:id="13"/>
      <w:bookmarkEnd w:id="14"/>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15" w:name="_Toc3849"/>
      <w:bookmarkStart w:id="16" w:name="_Toc27124"/>
      <w:r>
        <w:rPr>
          <w:rFonts w:hint="eastAsia" w:ascii="黑体" w:hAnsi="黑体" w:eastAsia="黑体" w:cs="黑体"/>
          <w:b/>
          <w:bCs/>
          <w:sz w:val="32"/>
          <w:szCs w:val="32"/>
          <w:lang w:val="en-US" w:eastAsia="zh-CN"/>
        </w:rPr>
        <w:t>中文发文情况统计分析</w:t>
      </w:r>
      <w:bookmarkEnd w:id="15"/>
      <w:bookmarkEnd w:id="16"/>
    </w:p>
    <w:p>
      <w:pPr>
        <w:numPr>
          <w:ilvl w:val="0"/>
          <w:numId w:val="2"/>
        </w:numPr>
        <w:jc w:val="both"/>
        <w:outlineLvl w:val="1"/>
        <w:rPr>
          <w:rFonts w:hint="eastAsia" w:ascii="仿宋" w:hAnsi="仿宋" w:eastAsia="仿宋" w:cs="仿宋"/>
          <w:b/>
          <w:bCs/>
          <w:sz w:val="30"/>
          <w:szCs w:val="30"/>
          <w:lang w:val="en-US" w:eastAsia="zh-CN"/>
        </w:rPr>
      </w:pPr>
      <w:bookmarkStart w:id="17" w:name="_Toc9429"/>
      <w:bookmarkStart w:id="18" w:name="_Toc30099"/>
      <w:r>
        <w:rPr>
          <w:rFonts w:hint="eastAsia" w:ascii="仿宋" w:hAnsi="仿宋" w:eastAsia="仿宋" w:cs="仿宋"/>
          <w:b/>
          <w:bCs/>
          <w:sz w:val="30"/>
          <w:szCs w:val="30"/>
          <w:lang w:val="en-US" w:eastAsia="zh-CN"/>
        </w:rPr>
        <w:t>发文量分析</w:t>
      </w:r>
      <w:bookmarkEnd w:id="17"/>
      <w:bookmarkEnd w:id="18"/>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年第三季度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75</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25</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54</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72</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2021年7月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2021年8月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2021年9月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16</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75</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54</w:t>
            </w:r>
          </w:p>
        </w:tc>
      </w:tr>
    </w:tbl>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注：1.国内期刊论文：统计源为中国知网《中国引文数据库》，共计11225种期刊。</w:t>
      </w:r>
    </w:p>
    <w:p>
      <w:pPr>
        <w:numPr>
          <w:ilvl w:val="0"/>
          <w:numId w:val="2"/>
        </w:numPr>
        <w:spacing w:line="480" w:lineRule="auto"/>
        <w:ind w:left="0" w:leftChars="0" w:firstLine="0" w:firstLineChars="0"/>
        <w:jc w:val="left"/>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北大核心发文量：</w:t>
      </w:r>
      <w:r>
        <w:rPr>
          <w:rFonts w:hint="eastAsia" w:ascii="微软雅黑" w:hAnsi="微软雅黑" w:eastAsia="微软雅黑" w:cs="微软雅黑"/>
          <w:sz w:val="21"/>
          <w:szCs w:val="21"/>
          <w:lang w:val="en-US" w:eastAsia="zh-CN"/>
        </w:rPr>
        <w:t>本次数据检索时间为2021.10.33，当前数据统计时间范围为2006-2020年，数据采集截止时间为2020年11月17日，因此2021年第三季度北大核心发文数据不具备分析意义，本分析报告不作分析。</w:t>
      </w:r>
    </w:p>
    <w:p>
      <w:pPr>
        <w:numPr>
          <w:ilvl w:val="0"/>
          <w:numId w:val="0"/>
        </w:numPr>
        <w:jc w:val="both"/>
        <w:outlineLvl w:val="1"/>
        <w:rPr>
          <w:rFonts w:hint="eastAsia" w:ascii="仿宋" w:hAnsi="仿宋" w:eastAsia="仿宋" w:cs="仿宋"/>
          <w:b/>
          <w:bCs/>
          <w:sz w:val="30"/>
          <w:szCs w:val="30"/>
          <w:lang w:val="en-US" w:eastAsia="zh-CN"/>
        </w:rPr>
      </w:pPr>
      <w:bookmarkStart w:id="19" w:name="_Toc25622"/>
    </w:p>
    <w:p>
      <w:pPr>
        <w:numPr>
          <w:ilvl w:val="0"/>
          <w:numId w:val="0"/>
        </w:numPr>
        <w:jc w:val="both"/>
        <w:outlineLvl w:val="1"/>
        <w:rPr>
          <w:rFonts w:hint="eastAsia" w:ascii="仿宋" w:hAnsi="仿宋" w:eastAsia="仿宋" w:cs="仿宋"/>
          <w:b/>
          <w:bCs/>
          <w:sz w:val="30"/>
          <w:szCs w:val="30"/>
          <w:lang w:val="en-US" w:eastAsia="zh-CN"/>
        </w:rPr>
      </w:pPr>
      <w:bookmarkStart w:id="20" w:name="_Toc13797"/>
      <w:r>
        <w:rPr>
          <w:rFonts w:hint="eastAsia" w:ascii="仿宋" w:hAnsi="仿宋" w:eastAsia="仿宋" w:cs="仿宋"/>
          <w:b/>
          <w:bCs/>
          <w:sz w:val="30"/>
          <w:szCs w:val="30"/>
          <w:lang w:val="en-US" w:eastAsia="zh-CN"/>
        </w:rPr>
        <w:t>2.论文主题分析</w:t>
      </w:r>
      <w:bookmarkEnd w:id="19"/>
      <w:bookmarkEnd w:id="20"/>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在2021年第三季度国内公开发表的75篇论文中，通过对主要主题词分析得到频次较高的主题词分布为：问题探析、分离鉴定、非线性动力模型、系统演化等，具体分布频次详见图1。</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4105910"/>
            <wp:effectExtent l="4445" t="4445" r="14605" b="2349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在2021年第三季度国内公开发表的75篇论文中，通过对次要主题词分析得到频次较高的主题词分布为：平均车速、交通需求管理、饱和度、Logistic曲线等，具体分布频次详见图2。</w:t>
      </w: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ind w:leftChars="0" w:firstLine="560" w:firstLineChars="200"/>
        <w:jc w:val="center"/>
        <w:rPr>
          <w:rFonts w:hint="eastAsia" w:ascii="仿宋" w:hAnsi="仿宋" w:eastAsia="仿宋" w:cs="仿宋"/>
          <w:b w:val="0"/>
          <w:bCs w:val="0"/>
          <w:sz w:val="28"/>
          <w:szCs w:val="28"/>
          <w:lang w:val="en-US" w:eastAsia="zh-CN"/>
        </w:rPr>
      </w:pPr>
    </w:p>
    <w:p>
      <w:pPr>
        <w:numPr>
          <w:ilvl w:val="0"/>
          <w:numId w:val="0"/>
        </w:numPr>
        <w:spacing w:line="480" w:lineRule="auto"/>
        <w:jc w:val="both"/>
        <w:rPr>
          <w:rFonts w:hint="eastAsia" w:ascii="仿宋" w:hAnsi="仿宋" w:eastAsia="仿宋" w:cs="仿宋"/>
          <w:b/>
          <w:bCs/>
          <w:sz w:val="24"/>
          <w:szCs w:val="24"/>
          <w:lang w:val="en-US" w:eastAsia="zh-CN"/>
        </w:rPr>
      </w:pP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pPr>
      <w:bookmarkStart w:id="21" w:name="_Toc9501"/>
      <w:r>
        <w:drawing>
          <wp:inline distT="0" distB="0" distL="114300" distR="114300">
            <wp:extent cx="4572000" cy="3048635"/>
            <wp:effectExtent l="4445" t="4445" r="14605" b="13970"/>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spacing w:line="480" w:lineRule="auto"/>
        <w:jc w:val="center"/>
        <w:rPr>
          <w:rFonts w:hint="eastAsia"/>
          <w:lang w:val="en-US" w:eastAsia="zh-CN"/>
        </w:rPr>
      </w:pPr>
    </w:p>
    <w:p>
      <w:pPr>
        <w:numPr>
          <w:ilvl w:val="0"/>
          <w:numId w:val="2"/>
        </w:numPr>
        <w:ind w:left="0" w:leftChars="0" w:firstLine="0" w:firstLineChars="0"/>
        <w:jc w:val="both"/>
        <w:outlineLvl w:val="1"/>
        <w:rPr>
          <w:rFonts w:hint="eastAsia" w:ascii="仿宋" w:hAnsi="仿宋" w:eastAsia="仿宋" w:cs="仿宋"/>
          <w:b/>
          <w:bCs/>
          <w:sz w:val="30"/>
          <w:szCs w:val="30"/>
          <w:lang w:val="en-US" w:eastAsia="zh-CN"/>
        </w:rPr>
      </w:pPr>
      <w:bookmarkStart w:id="22" w:name="_Toc12813"/>
      <w:r>
        <w:rPr>
          <w:rFonts w:hint="eastAsia" w:ascii="仿宋" w:hAnsi="仿宋" w:eastAsia="仿宋" w:cs="仿宋"/>
          <w:b/>
          <w:bCs/>
          <w:sz w:val="30"/>
          <w:szCs w:val="30"/>
          <w:lang w:val="en-US" w:eastAsia="zh-CN"/>
        </w:rPr>
        <w:t>关键词分析</w:t>
      </w:r>
      <w:bookmarkEnd w:id="2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综合分析2021年第三季度国内公开发表的75篇论文中，通过对关键词分析得到频次较高的关键词分布为：板栗、产量、Logistic曲线、城市交通等，具体分布频次详见图3。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23"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23"/>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72000" cy="2828290"/>
            <wp:effectExtent l="4445" t="4445" r="14605" b="5715"/>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4" w:name="_Toc18807"/>
      <w:r>
        <w:rPr>
          <w:rFonts w:hint="eastAsia" w:ascii="仿宋" w:hAnsi="仿宋" w:eastAsia="仿宋" w:cs="仿宋"/>
          <w:b/>
          <w:bCs/>
          <w:sz w:val="30"/>
          <w:szCs w:val="30"/>
          <w:lang w:val="en-US" w:eastAsia="zh-CN"/>
        </w:rPr>
        <w:t>4.文献来源分析</w:t>
      </w:r>
      <w:bookmarkEnd w:id="21"/>
      <w:bookmarkEnd w:id="24"/>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内公开发表的75篇论文中，文献来源共计60种，主要集中在办公自动化、埋雷作物学报、安徽农业科学、办公室业务等。其中论文数在3篇以上的有2种，论文数2篇以上的有12种，发表论文最多的刊物是《办公自动化》。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办公自动化</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麦类作物学报</w:t>
            </w:r>
          </w:p>
        </w:tc>
        <w:tc>
          <w:tcPr>
            <w:tcW w:w="1197"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468"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1.131</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安徽农业科学</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0.351</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办公室业务</w:t>
            </w:r>
          </w:p>
        </w:tc>
        <w:tc>
          <w:tcPr>
            <w:tcW w:w="1197"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北方牧业</w:t>
            </w:r>
          </w:p>
        </w:tc>
        <w:tc>
          <w:tcPr>
            <w:tcW w:w="1197"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河北果树</w:t>
            </w:r>
          </w:p>
        </w:tc>
        <w:tc>
          <w:tcPr>
            <w:tcW w:w="1197"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江苏农业科学</w:t>
            </w:r>
          </w:p>
        </w:tc>
        <w:tc>
          <w:tcPr>
            <w:tcW w:w="1197"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0.595</w:t>
            </w:r>
          </w:p>
        </w:tc>
      </w:tr>
      <w:tr>
        <w:tblPrEx>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交通运输系统工程与信息</w:t>
            </w:r>
          </w:p>
        </w:tc>
        <w:tc>
          <w:tcPr>
            <w:tcW w:w="1197"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1.110</w:t>
            </w:r>
          </w:p>
        </w:tc>
      </w:tr>
      <w:tr>
        <w:tblPrEx>
          <w:shd w:val="clear" w:color="auto" w:fill="auto"/>
          <w:tblCellMar>
            <w:top w:w="0" w:type="dxa"/>
            <w:left w:w="0" w:type="dxa"/>
            <w:bottom w:w="0" w:type="dxa"/>
            <w:right w:w="0" w:type="dxa"/>
          </w:tblCellMar>
        </w:tblPrEx>
        <w:trPr>
          <w:trHeight w:val="500" w:hRule="atLeast"/>
        </w:trPr>
        <w:tc>
          <w:tcPr>
            <w:tcW w:w="2334" w:type="pct"/>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文化产业</w:t>
            </w:r>
          </w:p>
        </w:tc>
        <w:tc>
          <w:tcPr>
            <w:tcW w:w="1197"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bookmarkStart w:id="25" w:name="_Toc9095"/>
            <w:r>
              <w:rPr>
                <w:rFonts w:hint="eastAsia" w:ascii="仿宋" w:hAnsi="仿宋" w:eastAsia="仿宋" w:cs="仿宋"/>
                <w:b w:val="0"/>
                <w:bCs/>
                <w:i w:val="0"/>
                <w:color w:val="auto"/>
                <w:kern w:val="0"/>
                <w:sz w:val="24"/>
                <w:szCs w:val="24"/>
                <w:u w:val="none"/>
                <w:lang w:val="en-US" w:eastAsia="zh-CN" w:bidi="ar"/>
              </w:rPr>
              <w:t>现代农村科技</w:t>
            </w:r>
          </w:p>
        </w:tc>
        <w:tc>
          <w:tcPr>
            <w:tcW w:w="11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中国瓜菜</w:t>
            </w:r>
          </w:p>
        </w:tc>
        <w:tc>
          <w:tcPr>
            <w:tcW w:w="1197"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0.634</w:t>
            </w:r>
          </w:p>
        </w:tc>
      </w:tr>
      <w:tr>
        <w:tblPrEx>
          <w:shd w:val="clear" w:color="auto" w:fill="auto"/>
          <w:tblCellMar>
            <w:top w:w="0" w:type="dxa"/>
            <w:left w:w="0" w:type="dxa"/>
            <w:bottom w:w="0" w:type="dxa"/>
            <w:right w:w="0" w:type="dxa"/>
          </w:tblCellMar>
        </w:tblPrEx>
        <w:trPr>
          <w:trHeight w:val="500" w:hRule="atLeast"/>
        </w:trPr>
        <w:tc>
          <w:tcPr>
            <w:tcW w:w="2334"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中国饲料</w:t>
            </w:r>
          </w:p>
        </w:tc>
        <w:tc>
          <w:tcPr>
            <w:tcW w:w="1197"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468" w:type="pct"/>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0.882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26" w:name="_Toc26895"/>
      <w:r>
        <w:rPr>
          <w:rFonts w:hint="eastAsia" w:ascii="仿宋" w:hAnsi="仿宋" w:eastAsia="仿宋" w:cs="仿宋"/>
          <w:b/>
          <w:bCs/>
          <w:sz w:val="30"/>
          <w:szCs w:val="30"/>
          <w:lang w:val="en-US" w:eastAsia="zh-CN"/>
        </w:rPr>
        <w:t>5.学科分析</w:t>
      </w:r>
      <w:bookmarkEnd w:id="25"/>
      <w:bookmarkEnd w:id="26"/>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综合分析2021年第三季度国内公开发表的75篇论文中，分别从属20门学科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园艺、高等教育、畜牧与动物医学、农作物、旅游、计算机软件及计算机技术等学科发文超过5篇，园艺和高等教育发文量最多，发文11篇，具体情况见表3。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5"/>
        <w:gridCol w:w="2507"/>
        <w:gridCol w:w="859"/>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423"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公路与水路运输</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423"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250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859"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经济体制改革</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14</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文化</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15</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农业基础科学</w:t>
            </w:r>
          </w:p>
        </w:tc>
        <w:tc>
          <w:tcPr>
            <w:tcW w:w="85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16</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中等教育</w:t>
            </w:r>
          </w:p>
        </w:tc>
        <w:tc>
          <w:tcPr>
            <w:tcW w:w="85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71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89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2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17</w:t>
            </w:r>
          </w:p>
        </w:tc>
        <w:tc>
          <w:tcPr>
            <w:tcW w:w="250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金融</w:t>
            </w:r>
          </w:p>
        </w:tc>
        <w:tc>
          <w:tcPr>
            <w:tcW w:w="85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18</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85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27" w:name="_Toc28217"/>
            <w:r>
              <w:rPr>
                <w:rFonts w:hint="eastAsia" w:ascii="仿宋" w:hAnsi="仿宋" w:eastAsia="仿宋" w:cs="仿宋"/>
                <w:i w:val="0"/>
                <w:color w:val="000000"/>
                <w:kern w:val="0"/>
                <w:sz w:val="24"/>
                <w:szCs w:val="24"/>
                <w:u w:val="none"/>
                <w:lang w:val="en-US" w:eastAsia="zh-CN" w:bidi="ar"/>
              </w:rPr>
              <w:t>9</w:t>
            </w:r>
          </w:p>
        </w:tc>
        <w:tc>
          <w:tcPr>
            <w:tcW w:w="27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89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2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19</w:t>
            </w:r>
          </w:p>
        </w:tc>
        <w:tc>
          <w:tcPr>
            <w:tcW w:w="250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人才学与劳动科学</w:t>
            </w:r>
          </w:p>
        </w:tc>
        <w:tc>
          <w:tcPr>
            <w:tcW w:w="85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20</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海洋学</w:t>
            </w:r>
          </w:p>
        </w:tc>
        <w:tc>
          <w:tcPr>
            <w:tcW w:w="85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28" w:name="_Toc14671"/>
      <w:r>
        <w:rPr>
          <w:rFonts w:hint="eastAsia" w:ascii="仿宋" w:hAnsi="仿宋" w:eastAsia="仿宋" w:cs="仿宋"/>
          <w:b/>
          <w:bCs/>
          <w:sz w:val="30"/>
          <w:szCs w:val="30"/>
          <w:lang w:val="en-US" w:eastAsia="zh-CN"/>
        </w:rPr>
        <w:t>6.作者分析</w:t>
      </w:r>
      <w:bookmarkEnd w:id="27"/>
      <w:r>
        <w:rPr>
          <w:rFonts w:hint="eastAsia" w:ascii="仿宋" w:hAnsi="仿宋" w:eastAsia="仿宋" w:cs="仿宋"/>
          <w:b w:val="0"/>
          <w:bCs w:val="0"/>
          <w:sz w:val="30"/>
          <w:szCs w:val="30"/>
          <w:lang w:val="en-US" w:eastAsia="zh-CN"/>
        </w:rPr>
        <w:t>（第一作者）</w:t>
      </w:r>
      <w:bookmarkEnd w:id="28"/>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综合分析2021年第三季度国内公开发表的75篇论文中，发文超过两篇文献的作者有3人，发文量较高的是：陆冬梅、王鹏飞、王燕等。详情见表4。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表4河北科技师范学院2021年第三季度国内期刊发文作者统计表</w:t>
      </w:r>
    </w:p>
    <w:tbl>
      <w:tblPr>
        <w:tblStyle w:val="4"/>
        <w:tblpPr w:leftFromText="180" w:rightFromText="180" w:vertAnchor="text" w:horzAnchor="page" w:tblpX="1787" w:tblpY="606"/>
        <w:tblOverlap w:val="never"/>
        <w:tblW w:w="4998" w:type="pct"/>
        <w:tblInd w:w="0" w:type="dxa"/>
        <w:shd w:val="clear" w:color="auto" w:fill="auto"/>
        <w:tblLayout w:type="autofit"/>
        <w:tblCellMar>
          <w:top w:w="0" w:type="dxa"/>
          <w:left w:w="0" w:type="dxa"/>
          <w:bottom w:w="0" w:type="dxa"/>
          <w:right w:w="0" w:type="dxa"/>
        </w:tblCellMar>
      </w:tblPr>
      <w:tblGrid>
        <w:gridCol w:w="960"/>
        <w:gridCol w:w="1832"/>
        <w:gridCol w:w="1364"/>
        <w:gridCol w:w="4177"/>
      </w:tblGrid>
      <w:tr>
        <w:tblPrEx>
          <w:tblCellMar>
            <w:top w:w="0" w:type="dxa"/>
            <w:left w:w="0" w:type="dxa"/>
            <w:bottom w:w="0" w:type="dxa"/>
            <w:right w:w="0" w:type="dxa"/>
          </w:tblCellMar>
        </w:tblPrEx>
        <w:trPr>
          <w:trHeight w:val="615" w:hRule="atLeast"/>
        </w:trPr>
        <w:tc>
          <w:tcPr>
            <w:tcW w:w="576"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CellMar>
            <w:top w:w="0" w:type="dxa"/>
            <w:left w:w="0" w:type="dxa"/>
            <w:bottom w:w="0" w:type="dxa"/>
            <w:right w:w="0" w:type="dxa"/>
          </w:tblCellMar>
        </w:tblPrEx>
        <w:trPr>
          <w:trHeight w:val="500" w:hRule="atLeast"/>
        </w:trPr>
        <w:tc>
          <w:tcPr>
            <w:tcW w:w="576"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09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陆冬梅</w:t>
            </w:r>
          </w:p>
        </w:tc>
        <w:tc>
          <w:tcPr>
            <w:tcW w:w="81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财经学院</w:t>
            </w:r>
          </w:p>
        </w:tc>
      </w:tr>
      <w:tr>
        <w:tblPrEx>
          <w:shd w:val="clear" w:color="auto" w:fill="auto"/>
          <w:tblCellMar>
            <w:top w:w="0" w:type="dxa"/>
            <w:left w:w="0" w:type="dxa"/>
            <w:bottom w:w="0" w:type="dxa"/>
            <w:right w:w="0" w:type="dxa"/>
          </w:tblCellMar>
        </w:tblPrEx>
        <w:trPr>
          <w:trHeight w:val="500"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0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王鹏飞</w:t>
            </w:r>
          </w:p>
        </w:tc>
        <w:tc>
          <w:tcPr>
            <w:tcW w:w="818"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城市建设学院</w:t>
            </w:r>
          </w:p>
        </w:tc>
      </w:tr>
      <w:tr>
        <w:tblPrEx>
          <w:tblCellMar>
            <w:top w:w="0" w:type="dxa"/>
            <w:left w:w="0" w:type="dxa"/>
            <w:bottom w:w="0" w:type="dxa"/>
            <w:right w:w="0" w:type="dxa"/>
          </w:tblCellMar>
        </w:tblPrEx>
        <w:trPr>
          <w:trHeight w:val="500" w:hRule="atLeast"/>
        </w:trPr>
        <w:tc>
          <w:tcPr>
            <w:tcW w:w="576"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09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王燕</w:t>
            </w:r>
          </w:p>
        </w:tc>
        <w:tc>
          <w:tcPr>
            <w:tcW w:w="818"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工商管理学院</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bookmarkStart w:id="29" w:name="_Toc23809"/>
    </w:p>
    <w:p>
      <w:pPr>
        <w:numPr>
          <w:ilvl w:val="0"/>
          <w:numId w:val="0"/>
        </w:numPr>
        <w:jc w:val="both"/>
        <w:outlineLvl w:val="1"/>
        <w:rPr>
          <w:rFonts w:hint="default" w:ascii="仿宋" w:hAnsi="仿宋" w:eastAsia="仿宋" w:cs="仿宋"/>
          <w:b/>
          <w:bCs/>
          <w:sz w:val="30"/>
          <w:szCs w:val="30"/>
          <w:lang w:val="en-US" w:eastAsia="zh-CN"/>
        </w:rPr>
      </w:pPr>
      <w:bookmarkStart w:id="30" w:name="_Toc20070"/>
      <w:r>
        <w:rPr>
          <w:rFonts w:hint="eastAsia" w:ascii="仿宋" w:hAnsi="仿宋" w:eastAsia="仿宋" w:cs="仿宋"/>
          <w:b/>
          <w:bCs/>
          <w:sz w:val="30"/>
          <w:szCs w:val="30"/>
          <w:lang w:val="en-US" w:eastAsia="zh-CN"/>
        </w:rPr>
        <w:t>7.合作单位分析</w:t>
      </w:r>
      <w:bookmarkEnd w:id="29"/>
      <w:bookmarkEnd w:id="30"/>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综合分析2021年第三季度国内公开发表的75篇论文中，合作发文超过2篇的合作单位有11个，其中合作发文最多的是燕山大学，合作发文9篇，具体分布见图4。</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rPr>
          <w:rFonts w:hint="eastAsia" w:ascii="仿宋" w:hAnsi="仿宋" w:eastAsia="仿宋" w:cs="仿宋"/>
          <w:b/>
          <w:bCs/>
          <w:color w:val="000000"/>
          <w:kern w:val="0"/>
          <w:sz w:val="24"/>
          <w:szCs w:val="24"/>
          <w:lang w:val="en-US" w:eastAsia="zh-CN" w:bidi="ar"/>
        </w:rPr>
      </w:pPr>
      <w:r>
        <w:rPr>
          <w:rFonts w:hint="eastAsia"/>
          <w:lang w:val="en-US" w:eastAsia="zh-CN"/>
        </w:rPr>
        <w:t xml:space="preserve">  </w:t>
      </w:r>
      <w:r>
        <w:drawing>
          <wp:inline distT="0" distB="0" distL="114300" distR="114300">
            <wp:extent cx="4572000" cy="2743200"/>
            <wp:effectExtent l="4445" t="4445" r="14605" b="1460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31" w:name="_Toc509"/>
    </w:p>
    <w:p>
      <w:pPr>
        <w:numPr>
          <w:ilvl w:val="0"/>
          <w:numId w:val="0"/>
        </w:numPr>
        <w:jc w:val="both"/>
        <w:outlineLvl w:val="1"/>
        <w:rPr>
          <w:rFonts w:hint="eastAsia" w:ascii="仿宋" w:hAnsi="仿宋" w:eastAsia="仿宋" w:cs="仿宋"/>
          <w:b/>
          <w:bCs/>
          <w:sz w:val="30"/>
          <w:szCs w:val="30"/>
          <w:lang w:val="en-US" w:eastAsia="zh-CN"/>
        </w:rPr>
      </w:pPr>
      <w:bookmarkStart w:id="32" w:name="_Toc1227"/>
      <w:r>
        <w:rPr>
          <w:rFonts w:hint="eastAsia" w:ascii="仿宋" w:hAnsi="仿宋" w:eastAsia="仿宋" w:cs="仿宋"/>
          <w:b/>
          <w:bCs/>
          <w:sz w:val="30"/>
          <w:szCs w:val="30"/>
          <w:lang w:val="en-US" w:eastAsia="zh-CN"/>
        </w:rPr>
        <w:t>8.基金分析</w:t>
      </w:r>
      <w:bookmarkEnd w:id="31"/>
      <w:bookmarkEnd w:id="32"/>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内公开发表的75篇论文中，基金资助超过两篇文章的有16个，其中资助文献最多的基金是国家自然科学基金项目和河北省自然科学基金项目，资助发文10篇，下表列举资助篇数超过三篇的基金项目，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河北科技师范学院教学改革研究项目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河北省教育厅人文社会科学项目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“十三五”国家重点研发计划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2020年度河北省社会科学发展研究课题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河北科技师范学院海洋科学研究专项</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教育部人文社会科学研究青年基金项目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11027"/>
      <w:r>
        <w:rPr>
          <w:rFonts w:hint="eastAsia" w:ascii="仿宋" w:hAnsi="仿宋" w:eastAsia="仿宋" w:cs="仿宋"/>
          <w:b/>
          <w:bCs/>
          <w:sz w:val="30"/>
          <w:szCs w:val="30"/>
          <w:lang w:val="en-US" w:eastAsia="zh-CN"/>
        </w:rPr>
        <w:t>9.指标分析</w:t>
      </w:r>
      <w:bookmarkEnd w:id="3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综合分析2021年第三季度国内公开发表论文，文献总数75篇，总参考1548篇文献，篇均参考13.12篇文献；总被引7篇文献，篇均被引0.06篇文献；总下载文献数为10497，篇均下载文献数为88.96。详情参见表5.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4"/>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75</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853</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7346</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11.37</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0.03</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numPr>
                <w:ilvl w:val="0"/>
                <w:numId w:val="0"/>
              </w:num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97.95</w:t>
            </w:r>
          </w:p>
        </w:tc>
      </w:tr>
    </w:tbl>
    <w:p>
      <w:pPr>
        <w:numPr>
          <w:ilvl w:val="0"/>
          <w:numId w:val="0"/>
        </w:numPr>
        <w:jc w:val="both"/>
        <w:outlineLvl w:val="9"/>
        <w:rPr>
          <w:rFonts w:hint="eastAsia" w:ascii="黑体" w:hAnsi="黑体" w:eastAsia="黑体" w:cs="黑体"/>
          <w:b/>
          <w:bCs/>
          <w:sz w:val="30"/>
          <w:szCs w:val="30"/>
          <w:lang w:val="en-US" w:eastAsia="zh-CN"/>
        </w:rPr>
      </w:pPr>
      <w:bookmarkStart w:id="34" w:name="_Toc25917"/>
    </w:p>
    <w:p>
      <w:pPr>
        <w:numPr>
          <w:ilvl w:val="0"/>
          <w:numId w:val="0"/>
        </w:numPr>
        <w:jc w:val="both"/>
        <w:outlineLvl w:val="0"/>
        <w:rPr>
          <w:rFonts w:hint="eastAsia" w:ascii="黑体" w:hAnsi="黑体" w:eastAsia="黑体" w:cs="黑体"/>
          <w:b/>
          <w:bCs/>
          <w:sz w:val="30"/>
          <w:szCs w:val="30"/>
          <w:lang w:val="en-US" w:eastAsia="zh-CN"/>
        </w:rPr>
      </w:pPr>
      <w:bookmarkStart w:id="35" w:name="_Toc7297"/>
      <w:r>
        <w:rPr>
          <w:rFonts w:hint="eastAsia" w:ascii="黑体" w:hAnsi="黑体" w:eastAsia="黑体" w:cs="黑体"/>
          <w:b/>
          <w:bCs/>
          <w:sz w:val="32"/>
          <w:szCs w:val="32"/>
          <w:lang w:val="en-US" w:eastAsia="zh-CN"/>
        </w:rPr>
        <w:t>二、外文发文情况统计分析</w:t>
      </w:r>
      <w:bookmarkEnd w:id="34"/>
      <w:bookmarkEnd w:id="35"/>
    </w:p>
    <w:p>
      <w:pPr>
        <w:numPr>
          <w:ilvl w:val="0"/>
          <w:numId w:val="0"/>
        </w:numPr>
        <w:jc w:val="both"/>
        <w:outlineLvl w:val="1"/>
        <w:rPr>
          <w:rFonts w:hint="eastAsia" w:ascii="仿宋" w:hAnsi="仿宋" w:eastAsia="仿宋" w:cs="仿宋"/>
          <w:b/>
          <w:bCs/>
          <w:sz w:val="30"/>
          <w:szCs w:val="30"/>
          <w:lang w:val="en-US" w:eastAsia="zh-CN"/>
        </w:rPr>
      </w:pPr>
      <w:bookmarkStart w:id="36" w:name="_Toc4689"/>
      <w:bookmarkStart w:id="37" w:name="_Toc6485"/>
      <w:r>
        <w:rPr>
          <w:rFonts w:hint="eastAsia" w:ascii="仿宋" w:hAnsi="仿宋" w:eastAsia="仿宋" w:cs="仿宋"/>
          <w:b/>
          <w:bCs/>
          <w:sz w:val="30"/>
          <w:szCs w:val="30"/>
          <w:lang w:val="en-US" w:eastAsia="zh-CN"/>
        </w:rPr>
        <w:t>1.发文量分析</w:t>
      </w:r>
      <w:bookmarkEnd w:id="36"/>
      <w:bookmarkEnd w:id="37"/>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2021</w:t>
      </w:r>
      <w:r>
        <w:rPr>
          <w:rFonts w:hint="eastAsia" w:ascii="仿宋" w:hAnsi="仿宋" w:eastAsia="仿宋" w:cs="仿宋"/>
          <w:sz w:val="28"/>
          <w:szCs w:val="28"/>
          <w:lang w:val="en-US" w:eastAsia="zh-CN"/>
        </w:rPr>
        <w:t>年第三季度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33</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11</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13</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39.39</w:t>
      </w:r>
      <w:r>
        <w:rPr>
          <w:rFonts w:hint="eastAsia" w:ascii="仿宋" w:hAnsi="仿宋" w:eastAsia="仿宋" w:cs="仿宋"/>
          <w:sz w:val="28"/>
          <w:szCs w:val="28"/>
        </w:rPr>
        <w:t xml:space="preserve"> %。（见表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w:t>
      </w:r>
      <w:r>
        <w:rPr>
          <w:rFonts w:hint="eastAsia" w:ascii="仿宋" w:hAnsi="仿宋" w:eastAsia="仿宋" w:cs="仿宋"/>
          <w:b/>
          <w:bCs/>
          <w:color w:val="000000"/>
          <w:kern w:val="0"/>
          <w:sz w:val="24"/>
          <w:szCs w:val="24"/>
          <w:lang w:bidi="ar"/>
        </w:rPr>
        <w:t>期刊发文情况统计表</w:t>
      </w:r>
    </w:p>
    <w:tbl>
      <w:tblPr>
        <w:tblStyle w:val="4"/>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2021年7月</w:t>
            </w:r>
          </w:p>
        </w:tc>
        <w:tc>
          <w:tcPr>
            <w:tcW w:w="16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9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2021年8月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7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3</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2021年9月</w:t>
            </w:r>
          </w:p>
        </w:tc>
        <w:tc>
          <w:tcPr>
            <w:tcW w:w="16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179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16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179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bl>
    <w:p>
      <w:pPr>
        <w:numPr>
          <w:ilvl w:val="0"/>
          <w:numId w:val="0"/>
        </w:numPr>
        <w:jc w:val="both"/>
        <w:outlineLvl w:val="1"/>
        <w:rPr>
          <w:rFonts w:hint="eastAsia" w:ascii="仿宋" w:hAnsi="仿宋" w:eastAsia="仿宋" w:cs="仿宋"/>
          <w:b/>
          <w:bCs/>
          <w:sz w:val="30"/>
          <w:szCs w:val="30"/>
          <w:lang w:val="en-US" w:eastAsia="zh-CN"/>
        </w:rPr>
      </w:pPr>
      <w:bookmarkStart w:id="38" w:name="_Toc24142"/>
    </w:p>
    <w:p>
      <w:pPr>
        <w:numPr>
          <w:ilvl w:val="0"/>
          <w:numId w:val="0"/>
        </w:numPr>
        <w:jc w:val="both"/>
        <w:outlineLvl w:val="1"/>
        <w:rPr>
          <w:rFonts w:hint="eastAsia" w:ascii="仿宋" w:hAnsi="仿宋" w:eastAsia="仿宋" w:cs="仿宋"/>
          <w:b/>
          <w:bCs/>
          <w:sz w:val="30"/>
          <w:szCs w:val="30"/>
          <w:lang w:val="en-US" w:eastAsia="zh-CN"/>
        </w:rPr>
      </w:pPr>
      <w:bookmarkStart w:id="39" w:name="_Toc30132"/>
      <w:r>
        <w:rPr>
          <w:rFonts w:hint="eastAsia" w:ascii="仿宋" w:hAnsi="仿宋" w:eastAsia="仿宋" w:cs="仿宋"/>
          <w:b/>
          <w:bCs/>
          <w:sz w:val="30"/>
          <w:szCs w:val="30"/>
          <w:lang w:val="en-US" w:eastAsia="zh-CN"/>
        </w:rPr>
        <w:t>2.学科分析</w:t>
      </w:r>
      <w:bookmarkEnd w:id="38"/>
      <w:bookmarkEnd w:id="3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default" w:ascii="Calibri" w:hAnsi="Calibri" w:eastAsia="宋体" w:cs="Calibri"/>
          <w:i w:val="0"/>
          <w:color w:val="000000"/>
          <w:kern w:val="0"/>
          <w:sz w:val="24"/>
          <w:szCs w:val="24"/>
          <w:u w:val="none"/>
          <w:lang w:val="en-US" w:eastAsia="zh-CN" w:bidi="ar"/>
        </w:rPr>
        <w:t>Chemistry, Multidisciplinary</w:t>
      </w:r>
      <w:r>
        <w:rPr>
          <w:rFonts w:hint="eastAsia" w:ascii="Calibri" w:hAnsi="Calibri" w:eastAsia="宋体" w:cs="Calibri"/>
          <w:i w:val="0"/>
          <w:color w:val="000000"/>
          <w:kern w:val="0"/>
          <w:sz w:val="24"/>
          <w:szCs w:val="24"/>
          <w:u w:val="none"/>
          <w:lang w:val="en-US" w:eastAsia="zh-CN" w:bidi="ar"/>
        </w:rPr>
        <w:t>和Materials Science, Multidisciplinary</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Cell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Physical</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Immunology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Ceramics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0"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Psychiatry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1" w:name="_Toc21873"/>
      <w:r>
        <w:rPr>
          <w:rFonts w:hint="eastAsia" w:ascii="仿宋" w:hAnsi="仿宋" w:eastAsia="仿宋" w:cs="仿宋"/>
          <w:b/>
          <w:bCs/>
          <w:sz w:val="30"/>
          <w:szCs w:val="30"/>
          <w:lang w:val="en-US" w:eastAsia="zh-CN"/>
        </w:rPr>
        <w:t>3.研究方向分析</w:t>
      </w:r>
      <w:bookmarkEnd w:id="40"/>
      <w:bookmarkEnd w:id="4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default" w:ascii="Calibri" w:hAnsi="Calibri" w:eastAsia="宋体" w:cs="Calibri"/>
          <w:i w:val="0"/>
          <w:color w:val="000000"/>
          <w:kern w:val="0"/>
          <w:sz w:val="24"/>
          <w:szCs w:val="24"/>
          <w:u w:val="none"/>
          <w:lang w:val="en-US" w:eastAsia="zh-CN" w:bidi="ar"/>
        </w:rPr>
        <w:t>Agriculture</w:t>
      </w:r>
      <w:r>
        <w:rPr>
          <w:rFonts w:hint="eastAsia" w:ascii="Calibri" w:hAnsi="Calibri" w:eastAsia="宋体" w:cs="Calibri"/>
          <w:i w:val="0"/>
          <w:color w:val="000000"/>
          <w:kern w:val="0"/>
          <w:sz w:val="24"/>
          <w:szCs w:val="24"/>
          <w:u w:val="none"/>
          <w:lang w:val="en-US" w:eastAsia="zh-CN" w:bidi="ar"/>
        </w:rPr>
        <w:t>、Chemistry、</w:t>
      </w:r>
      <w:r>
        <w:rPr>
          <w:rFonts w:hint="default" w:ascii="Calibri" w:hAnsi="Calibri" w:eastAsia="宋体" w:cs="Calibri"/>
          <w:i w:val="0"/>
          <w:color w:val="000000"/>
          <w:kern w:val="0"/>
          <w:sz w:val="24"/>
          <w:szCs w:val="24"/>
          <w:u w:val="none"/>
          <w:lang w:val="en-US" w:eastAsia="zh-CN" w:bidi="ar"/>
        </w:rPr>
        <w:t>Food Science &amp; Technology</w:t>
      </w:r>
      <w:r>
        <w:rPr>
          <w:rFonts w:hint="eastAsia" w:ascii="Calibri" w:hAnsi="Calibri" w:eastAsia="宋体" w:cs="Calibri"/>
          <w:i w:val="0"/>
          <w:color w:val="000000"/>
          <w:kern w:val="0"/>
          <w:sz w:val="24"/>
          <w:szCs w:val="24"/>
          <w:u w:val="none"/>
          <w:lang w:val="en-US" w:eastAsia="zh-CN" w:bidi="ar"/>
        </w:rPr>
        <w:t>、</w:t>
      </w:r>
      <w:r>
        <w:rPr>
          <w:rFonts w:hint="default" w:ascii="Calibri" w:hAnsi="Calibri" w:eastAsia="宋体" w:cs="Calibri"/>
          <w:i w:val="0"/>
          <w:color w:val="000000"/>
          <w:kern w:val="0"/>
          <w:sz w:val="24"/>
          <w:szCs w:val="24"/>
          <w:u w:val="none"/>
          <w:lang w:val="en-US" w:eastAsia="zh-CN" w:bidi="ar"/>
        </w:rPr>
        <w:t>Materials Science</w:t>
      </w:r>
      <w:r>
        <w:rPr>
          <w:rFonts w:hint="eastAsia" w:ascii="仿宋" w:hAnsi="仿宋" w:eastAsia="仿宋" w:cs="仿宋"/>
          <w:sz w:val="28"/>
          <w:szCs w:val="28"/>
          <w:lang w:val="en-US" w:eastAsia="zh-CN"/>
        </w:rPr>
        <w:t>研究方向分别发文4篇，为最多研究方向。</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Cell 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Immunology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Polymer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Psychiatry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2" w:name="_Toc20317"/>
      <w:bookmarkStart w:id="43" w:name="_Toc32538"/>
      <w:r>
        <w:rPr>
          <w:rFonts w:hint="eastAsia" w:ascii="仿宋" w:hAnsi="仿宋" w:eastAsia="仿宋" w:cs="仿宋"/>
          <w:b/>
          <w:bCs/>
          <w:sz w:val="30"/>
          <w:szCs w:val="30"/>
          <w:lang w:val="en-US" w:eastAsia="zh-CN"/>
        </w:rPr>
        <w:t>4.文献来源分析</w:t>
      </w:r>
      <w:bookmarkEnd w:id="42"/>
      <w:bookmarkEnd w:id="4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文献来源共计32种，发文超过两篇的期刊共一种（详见表9），</w:t>
      </w:r>
      <w:r>
        <w:rPr>
          <w:rFonts w:hint="eastAsia" w:ascii="Calibri" w:hAnsi="Calibri" w:eastAsia="宋体" w:cs="Calibri"/>
          <w:i w:val="0"/>
          <w:color w:val="000000"/>
          <w:kern w:val="0"/>
          <w:sz w:val="24"/>
          <w:szCs w:val="24"/>
          <w:u w:val="none"/>
          <w:lang w:val="en-US" w:eastAsia="zh-CN" w:bidi="ar"/>
        </w:rPr>
        <w:t>PSYCHIATRIA DANUBINA</w:t>
      </w:r>
      <w:r>
        <w:rPr>
          <w:rFonts w:hint="eastAsia" w:ascii="仿宋" w:hAnsi="仿宋" w:eastAsia="仿宋" w:cs="仿宋"/>
          <w:sz w:val="28"/>
          <w:szCs w:val="28"/>
          <w:lang w:val="en-US" w:eastAsia="zh-CN"/>
        </w:rPr>
        <w:t>，为最多发文期刊。</w:t>
      </w: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680"/>
        <w:gridCol w:w="3361"/>
        <w:gridCol w:w="1275"/>
        <w:gridCol w:w="1784"/>
        <w:gridCol w:w="1233"/>
      </w:tblGrid>
      <w:tr>
        <w:tblPrEx>
          <w:shd w:val="clear" w:color="auto" w:fill="auto"/>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3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shd w:val="clear" w:color="auto" w:fill="auto"/>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01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sz w:val="22"/>
                <w:szCs w:val="22"/>
                <w:u w:val="none"/>
                <w:lang w:val="en-US" w:eastAsia="zh-CN"/>
              </w:rPr>
              <w:t>PSYCHIATRIA DANUBINA</w:t>
            </w:r>
          </w:p>
        </w:tc>
        <w:tc>
          <w:tcPr>
            <w:tcW w:w="76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07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1.063</w:t>
            </w:r>
          </w:p>
        </w:tc>
        <w:tc>
          <w:tcPr>
            <w:tcW w:w="73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Q4</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44" w:name="_Toc10459"/>
      <w:bookmarkStart w:id="45" w:name="_Toc28452"/>
      <w:r>
        <w:rPr>
          <w:rFonts w:hint="eastAsia" w:ascii="仿宋" w:hAnsi="仿宋" w:eastAsia="仿宋" w:cs="仿宋"/>
          <w:b/>
          <w:bCs/>
          <w:sz w:val="30"/>
          <w:szCs w:val="30"/>
          <w:lang w:val="en-US" w:eastAsia="zh-CN"/>
        </w:rPr>
        <w:t>作者分析</w:t>
      </w:r>
      <w:bookmarkEnd w:id="44"/>
      <w:r>
        <w:rPr>
          <w:rFonts w:hint="eastAsia" w:ascii="仿宋" w:hAnsi="仿宋" w:eastAsia="仿宋" w:cs="仿宋"/>
          <w:b/>
          <w:bCs/>
          <w:sz w:val="30"/>
          <w:szCs w:val="30"/>
          <w:lang w:val="en-US" w:eastAsia="zh-CN"/>
        </w:rPr>
        <w:t>（含合作者）</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综合分析2021年第三季度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的33</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我校发文作者59名，其中发文两篇以上的有6人，详见表10。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 xml:space="preserve">表10河北科技师范学院2021年第三季度国外期刊作者统计表 </w:t>
      </w:r>
    </w:p>
    <w:tbl>
      <w:tblPr>
        <w:tblStyle w:val="4"/>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099"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818"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506" w:type="pct"/>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1099"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Zhiliang</w:t>
            </w:r>
          </w:p>
        </w:tc>
        <w:tc>
          <w:tcPr>
            <w:tcW w:w="818"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506"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1099"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Peng, Fei</w:t>
            </w:r>
          </w:p>
        </w:tc>
        <w:tc>
          <w:tcPr>
            <w:tcW w:w="818"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2506" w:type="pc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1099"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Chang, Xuedong</w:t>
            </w:r>
          </w:p>
        </w:tc>
        <w:tc>
          <w:tcPr>
            <w:tcW w:w="818"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新农村发展研究中心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099" w:type="pct"/>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Cheng, Caihong</w:t>
            </w:r>
          </w:p>
        </w:tc>
        <w:tc>
          <w:tcPr>
            <w:tcW w:w="818"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分析测试中心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099" w:type="pct"/>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Lan, Shuai</w:t>
            </w:r>
          </w:p>
        </w:tc>
        <w:tc>
          <w:tcPr>
            <w:tcW w:w="818"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化学工程学院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1099" w:type="pct"/>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Chengzhen</w:t>
            </w:r>
          </w:p>
        </w:tc>
        <w:tc>
          <w:tcPr>
            <w:tcW w:w="818"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1099" w:type="pct"/>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Xiuping</w:t>
            </w:r>
          </w:p>
        </w:tc>
        <w:tc>
          <w:tcPr>
            <w:tcW w:w="818"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1099" w:type="pct"/>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Zheng, Jinshuang</w:t>
            </w:r>
          </w:p>
        </w:tc>
        <w:tc>
          <w:tcPr>
            <w:tcW w:w="818"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1099" w:type="pct"/>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Zhu, Yan</w:t>
            </w:r>
          </w:p>
        </w:tc>
        <w:tc>
          <w:tcPr>
            <w:tcW w:w="818"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物理系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1099" w:type="pct"/>
            <w:shd w:val="clear" w:color="auto" w:fill="FFFFFF" w:themeFill="background1"/>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Zou, Jing</w:t>
            </w:r>
          </w:p>
        </w:tc>
        <w:tc>
          <w:tcPr>
            <w:tcW w:w="818"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bl>
    <w:p>
      <w:pPr>
        <w:numPr>
          <w:ilvl w:val="0"/>
          <w:numId w:val="0"/>
        </w:numPr>
        <w:jc w:val="both"/>
        <w:outlineLvl w:val="1"/>
        <w:rPr>
          <w:rFonts w:hint="eastAsia" w:ascii="仿宋" w:hAnsi="仿宋" w:eastAsia="仿宋" w:cs="仿宋"/>
          <w:b/>
          <w:bCs/>
          <w:sz w:val="30"/>
          <w:szCs w:val="30"/>
          <w:lang w:val="en-US" w:eastAsia="zh-CN"/>
        </w:rPr>
      </w:pPr>
      <w:bookmarkStart w:id="46" w:name="_Toc31626"/>
      <w:bookmarkStart w:id="47" w:name="_Toc7259"/>
      <w:r>
        <w:rPr>
          <w:rFonts w:hint="eastAsia" w:ascii="仿宋" w:hAnsi="仿宋" w:eastAsia="仿宋" w:cs="仿宋"/>
          <w:b/>
          <w:bCs/>
          <w:sz w:val="30"/>
          <w:szCs w:val="30"/>
          <w:lang w:val="en-US" w:eastAsia="zh-CN"/>
        </w:rPr>
        <w:t>6.基金分析</w:t>
      </w:r>
      <w:bookmarkEnd w:id="46"/>
      <w:bookmarkEnd w:id="47"/>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综合分析2021年第三季度国外公开发表的33篇论文中，基金资助超过两篇文章的有10个，其中资助文献最多的基金是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4"/>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 (NSFC)</w:t>
            </w:r>
          </w:p>
        </w:tc>
        <w:tc>
          <w:tcPr>
            <w:tcW w:w="4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16</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 in China</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4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111 project Ministry of Education, China - 111 Project</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Province Department of Higher Education Science and Technology Plan of Young Talents</w:t>
            </w:r>
          </w:p>
        </w:tc>
        <w:tc>
          <w:tcPr>
            <w:tcW w:w="4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Province Scientific and Technological Support Program</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Jiangsu Agricultural Industry Technology System</w:t>
            </w:r>
          </w:p>
        </w:tc>
        <w:tc>
          <w:tcPr>
            <w:tcW w:w="4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Project of Hebei Province, China</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15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R&amp;D Program of China</w:t>
            </w:r>
          </w:p>
        </w:tc>
        <w:tc>
          <w:tcPr>
            <w:tcW w:w="4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1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Science and Technology Project Hebei Education Department, China</w:t>
            </w: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bookmarkStart w:id="48" w:name="_Toc6044"/>
      <w:bookmarkStart w:id="49" w:name="_Toc3968"/>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7.被引分析</w:t>
      </w:r>
      <w:bookmarkEnd w:id="48"/>
      <w:bookmarkEnd w:id="49"/>
    </w:p>
    <w:p>
      <w:pPr>
        <w:numPr>
          <w:ilvl w:val="0"/>
          <w:numId w:val="0"/>
        </w:numPr>
        <w:ind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综合分析2021年第三季度国外公开发表的33篇论文中，被引用文献有4篇，其中被引次数最多的文章是</w:t>
      </w:r>
      <w:r>
        <w:rPr>
          <w:rFonts w:hint="eastAsia" w:ascii="Calibri" w:hAnsi="Calibri" w:eastAsia="宋体" w:cs="Calibri"/>
          <w:i w:val="0"/>
          <w:color w:val="000000"/>
          <w:kern w:val="0"/>
          <w:sz w:val="24"/>
          <w:szCs w:val="24"/>
          <w:u w:val="none"/>
          <w:lang w:val="en-US" w:eastAsia="zh-CN" w:bidi="ar"/>
        </w:rPr>
        <w:t>A human neutralizing antibody targets the receptor-binding site of SARS-CoV-2</w:t>
      </w:r>
      <w:r>
        <w:rPr>
          <w:rFonts w:hint="eastAsia" w:ascii="仿宋" w:hAnsi="仿宋" w:eastAsia="仿宋" w:cs="仿宋"/>
          <w:b w:val="0"/>
          <w:bCs w:val="0"/>
          <w:sz w:val="28"/>
          <w:szCs w:val="28"/>
          <w:lang w:val="en-US" w:eastAsia="zh-CN"/>
        </w:rPr>
        <w:t>，具体分布见表12。</w:t>
      </w:r>
    </w:p>
    <w:p>
      <w:pPr>
        <w:numPr>
          <w:ilvl w:val="0"/>
          <w:numId w:val="0"/>
        </w:numPr>
        <w:jc w:val="left"/>
        <w:rPr>
          <w:rFonts w:hint="eastAsia" w:ascii="仿宋" w:hAnsi="仿宋" w:eastAsia="仿宋" w:cs="仿宋"/>
          <w:b w:val="0"/>
          <w:bCs w:val="0"/>
          <w:sz w:val="28"/>
          <w:szCs w:val="28"/>
          <w:lang w:val="en-US" w:eastAsia="zh-CN"/>
        </w:rPr>
      </w:pP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2021年第三季度国外发文被引频次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4"/>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Synthesis of 0D SnO2 nanoparticles/2D g-C3N4 nanosheets heterojunction: improved charge transfer and separation for visible-light photocatalytic performance</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Chaoyang; Yang, Jingkai; Zhu, Yan; Xu, Min; Cui, Yan; Liu, Lu; Ren, Wangwei; Zhao, Hongli; Liang, Bo</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Genome-wide identification of AUX/IAA in radish and functional characterization of RsIAA33 gene during taproot thickening</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AUG</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Xie, Yang; Ying, Jiali; Tang, Mingjia; Wang, Yan; Xu, Liang; Liu, Meiyan; Liu, Liwang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Construction and immune efficacy of recombinant Lactobacillus casei expressing OmpAI of Aeromonas veronii C5-I as molecular adjuvant</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Lin-Zhao, Ze; Tong-Yang, Bin; Yi-Xuan, Yang; Ning-Guo, Song; Xing-Zhang, Dong; Nan-Ji, Sheng; Lv, Bing; Huan-Kang, Yuan; Feng-Shan, Xiao; Mei-Shi, Qiu; Wen-Sun, Wu; Dong-Qian, Ai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 Detailed Spatial Expression Analysis of Wing Phenotypes Reveals Novel Patterns of Odorant Binding Proteins in the Soybean Aphid, Aphis glycines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JUL</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Ling; Yin, Hang; Zhu, Zhiguo; Yang, Shuai; Fan, Jia</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w:t>
            </w:r>
          </w:p>
        </w:tc>
      </w:tr>
    </w:tbl>
    <w:p>
      <w:pPr>
        <w:spacing w:line="480" w:lineRule="auto"/>
        <w:jc w:val="center"/>
        <w:rPr>
          <w:rFonts w:hint="eastAsia"/>
        </w:rPr>
      </w:pPr>
    </w:p>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21C5F9F"/>
    <w:rsid w:val="02F868C8"/>
    <w:rsid w:val="03601D9E"/>
    <w:rsid w:val="038A7F2F"/>
    <w:rsid w:val="0495645F"/>
    <w:rsid w:val="06377034"/>
    <w:rsid w:val="074C2D13"/>
    <w:rsid w:val="08065CD1"/>
    <w:rsid w:val="087C5B35"/>
    <w:rsid w:val="08AE1213"/>
    <w:rsid w:val="0BF1297F"/>
    <w:rsid w:val="10634615"/>
    <w:rsid w:val="13105886"/>
    <w:rsid w:val="13136B57"/>
    <w:rsid w:val="139416D0"/>
    <w:rsid w:val="13987AF7"/>
    <w:rsid w:val="13F412D5"/>
    <w:rsid w:val="144964D4"/>
    <w:rsid w:val="157B3785"/>
    <w:rsid w:val="157F3E5B"/>
    <w:rsid w:val="158A52FB"/>
    <w:rsid w:val="17874709"/>
    <w:rsid w:val="189561A4"/>
    <w:rsid w:val="1A372FAB"/>
    <w:rsid w:val="1A5873E9"/>
    <w:rsid w:val="1AED378A"/>
    <w:rsid w:val="1C0520C8"/>
    <w:rsid w:val="1C65043A"/>
    <w:rsid w:val="1CE92B97"/>
    <w:rsid w:val="1D9751D2"/>
    <w:rsid w:val="1DAB7B4F"/>
    <w:rsid w:val="22285904"/>
    <w:rsid w:val="23491031"/>
    <w:rsid w:val="23A743D7"/>
    <w:rsid w:val="23D63EB9"/>
    <w:rsid w:val="24A748AD"/>
    <w:rsid w:val="26492636"/>
    <w:rsid w:val="28256F59"/>
    <w:rsid w:val="28B05E51"/>
    <w:rsid w:val="298E7BCC"/>
    <w:rsid w:val="299D4AAE"/>
    <w:rsid w:val="2A1E1EF9"/>
    <w:rsid w:val="2C3D740F"/>
    <w:rsid w:val="2DFC690D"/>
    <w:rsid w:val="300D612B"/>
    <w:rsid w:val="30132E04"/>
    <w:rsid w:val="33EC74B8"/>
    <w:rsid w:val="34170ECB"/>
    <w:rsid w:val="34BC0E5B"/>
    <w:rsid w:val="35294481"/>
    <w:rsid w:val="38914172"/>
    <w:rsid w:val="38D14B6E"/>
    <w:rsid w:val="3B026781"/>
    <w:rsid w:val="3B5963D6"/>
    <w:rsid w:val="3C0F5F44"/>
    <w:rsid w:val="3C8E6E90"/>
    <w:rsid w:val="3C8E78EF"/>
    <w:rsid w:val="3D203C2F"/>
    <w:rsid w:val="3DDC6D23"/>
    <w:rsid w:val="3E2264D4"/>
    <w:rsid w:val="3E520FD9"/>
    <w:rsid w:val="42312EBC"/>
    <w:rsid w:val="426F2679"/>
    <w:rsid w:val="44BB4992"/>
    <w:rsid w:val="44F84B54"/>
    <w:rsid w:val="45E32462"/>
    <w:rsid w:val="46325B29"/>
    <w:rsid w:val="48032514"/>
    <w:rsid w:val="4B545E24"/>
    <w:rsid w:val="4CA42517"/>
    <w:rsid w:val="4DE77106"/>
    <w:rsid w:val="4FA01782"/>
    <w:rsid w:val="4FF16129"/>
    <w:rsid w:val="5022272A"/>
    <w:rsid w:val="532C6A4B"/>
    <w:rsid w:val="53766CBE"/>
    <w:rsid w:val="547C45F3"/>
    <w:rsid w:val="54AC57C2"/>
    <w:rsid w:val="55D213BB"/>
    <w:rsid w:val="56492C8F"/>
    <w:rsid w:val="58D73E50"/>
    <w:rsid w:val="58FB4CED"/>
    <w:rsid w:val="5AD016BC"/>
    <w:rsid w:val="5B8861B6"/>
    <w:rsid w:val="5D174C2A"/>
    <w:rsid w:val="5D7F24A9"/>
    <w:rsid w:val="5E49292E"/>
    <w:rsid w:val="632E5AE9"/>
    <w:rsid w:val="66BA47AA"/>
    <w:rsid w:val="67551F07"/>
    <w:rsid w:val="67FF3E86"/>
    <w:rsid w:val="691213E4"/>
    <w:rsid w:val="6AA42D73"/>
    <w:rsid w:val="6CC469C3"/>
    <w:rsid w:val="6CFB1689"/>
    <w:rsid w:val="6E3F6C09"/>
    <w:rsid w:val="6E8647B0"/>
    <w:rsid w:val="6FBF5509"/>
    <w:rsid w:val="703C172C"/>
    <w:rsid w:val="71DD4ABF"/>
    <w:rsid w:val="72C83180"/>
    <w:rsid w:val="736A01FF"/>
    <w:rsid w:val="748557B7"/>
    <w:rsid w:val="74FC42B5"/>
    <w:rsid w:val="770F010E"/>
    <w:rsid w:val="773D0EE8"/>
    <w:rsid w:val="78ED0A33"/>
    <w:rsid w:val="7948293C"/>
    <w:rsid w:val="7C6932BF"/>
    <w:rsid w:val="7CB3424D"/>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character" w:customStyle="1" w:styleId="6">
    <w:name w:val="font01"/>
    <w:basedOn w:val="5"/>
    <w:qFormat/>
    <w:uiPriority w:val="0"/>
    <w:rPr>
      <w:rFonts w:ascii="Arial" w:hAnsi="Arial" w:cs="Arial"/>
      <w:b/>
      <w:color w:val="808080"/>
      <w:sz w:val="21"/>
      <w:szCs w:val="21"/>
      <w:u w:val="none"/>
    </w:rPr>
  </w:style>
  <w:style w:type="paragraph" w:customStyle="1" w:styleId="7">
    <w:name w:val="WPSOffice手动目录 1"/>
    <w:qFormat/>
    <w:uiPriority w:val="0"/>
    <w:pPr>
      <w:ind w:leftChars="0"/>
    </w:pPr>
    <w:rPr>
      <w:rFonts w:ascii="Times New Roman" w:hAnsi="Times New Roman" w:eastAsia="宋体" w:cs="Times New Roman"/>
      <w:sz w:val="20"/>
      <w:szCs w:val="20"/>
    </w:rPr>
  </w:style>
  <w:style w:type="paragraph" w:customStyle="1" w:styleId="8">
    <w:name w:val="WPSOffice手动目录 2"/>
    <w:qFormat/>
    <w:uiPriority w:val="0"/>
    <w:pPr>
      <w:ind w:leftChars="200"/>
    </w:pPr>
    <w:rPr>
      <w:rFonts w:ascii="Times New Roman" w:hAnsi="Times New Roman" w:eastAsia="宋体" w:cs="Times New Roman"/>
      <w:sz w:val="20"/>
      <w:szCs w:val="20"/>
    </w:rPr>
  </w:style>
  <w:style w:type="paragraph" w:styleId="9">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1&#31532;&#19977;&#23395;&#24230;&#21457;&#25991;&#24773;&#20917;&#32479;&#35745;\CNKI-2021&#31532;&#19977;&#23395;&#24230;&#21457;&#2599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1&#31532;&#19977;&#23395;&#24230;&#21457;&#25991;&#24773;&#20917;&#32479;&#35745;\CNKI-2021&#31532;&#19977;&#23395;&#24230;&#21457;&#2599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1&#31532;&#19977;&#23395;&#24230;&#21457;&#25991;&#24773;&#20917;&#32479;&#35745;\CNKI-2021&#31532;&#19977;&#23395;&#24230;&#21457;&#2599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1&#31532;&#19977;&#23395;&#24230;&#21457;&#25991;&#24773;&#20917;&#32479;&#35745;\CNKI-2021&#31532;&#19977;&#23395;&#24230;&#21457;&#259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'[CNKI-2021第三季度发文.xlsx]2.主题'!$B$17</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Pt>
            <c:idx val="35"/>
            <c:bubble3D val="0"/>
            <c:spPr>
              <a:solidFill>
                <a:schemeClr val="accent6">
                  <a:lumMod val="50000"/>
                </a:schemeClr>
              </a:solidFill>
              <a:ln w="19050">
                <a:solidFill>
                  <a:schemeClr val="lt1"/>
                </a:solidFill>
              </a:ln>
              <a:effectLst/>
            </c:spPr>
          </c:dPt>
          <c:dPt>
            <c:idx val="36"/>
            <c:bubble3D val="0"/>
            <c:spPr>
              <a:solidFill>
                <a:schemeClr val="accent1">
                  <a:lumMod val="70000"/>
                  <a:lumOff val="30000"/>
                </a:schemeClr>
              </a:solidFill>
              <a:ln w="19050">
                <a:solidFill>
                  <a:schemeClr val="lt1"/>
                </a:solidFill>
              </a:ln>
              <a:effectLst/>
            </c:spPr>
          </c:dPt>
          <c:dPt>
            <c:idx val="37"/>
            <c:bubble3D val="0"/>
            <c:spPr>
              <a:solidFill>
                <a:schemeClr val="accent2">
                  <a:lumMod val="70000"/>
                  <a:lumOff val="30000"/>
                </a:schemeClr>
              </a:solidFill>
              <a:ln w="19050">
                <a:solidFill>
                  <a:schemeClr val="lt1"/>
                </a:solidFill>
              </a:ln>
              <a:effectLst/>
            </c:spPr>
          </c:dPt>
          <c:dPt>
            <c:idx val="38"/>
            <c:bubble3D val="0"/>
            <c:spPr>
              <a:solidFill>
                <a:schemeClr val="accent3">
                  <a:lumMod val="70000"/>
                  <a:lumOff val="3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'[CNKI-2021第三季度发文.xlsx]2.主题'!$A$18:$A$56</c:f>
              <c:strCache>
                <c:ptCount val="39"/>
                <c:pt idx="0">
                  <c:v>问题探析</c:v>
                </c:pt>
                <c:pt idx="1">
                  <c:v>分离鉴定</c:v>
                </c:pt>
                <c:pt idx="2">
                  <c:v>非线性动力模型</c:v>
                </c:pt>
                <c:pt idx="3">
                  <c:v>河北省</c:v>
                </c:pt>
                <c:pt idx="4">
                  <c:v>系统演化</c:v>
                </c:pt>
                <c:pt idx="5">
                  <c:v>农村土地承包经营权流转</c:v>
                </c:pt>
                <c:pt idx="6">
                  <c:v>对策探究</c:v>
                </c:pt>
                <c:pt idx="7">
                  <c:v>秦皇岛港</c:v>
                </c:pt>
                <c:pt idx="8">
                  <c:v>输入变量选择</c:v>
                </c:pt>
                <c:pt idx="9">
                  <c:v>耐药性</c:v>
                </c:pt>
                <c:pt idx="10">
                  <c:v>传质动力学</c:v>
                </c:pt>
                <c:pt idx="11">
                  <c:v>共青团</c:v>
                </c:pt>
                <c:pt idx="12">
                  <c:v>“肌骨”Crosstalk</c:v>
                </c:pt>
                <c:pt idx="13">
                  <c:v>冬小麦</c:v>
                </c:pt>
                <c:pt idx="14">
                  <c:v>增产效应</c:v>
                </c:pt>
                <c:pt idx="15">
                  <c:v>曹妃甸区</c:v>
                </c:pt>
                <c:pt idx="16">
                  <c:v>红火蚁</c:v>
                </c:pt>
                <c:pt idx="17">
                  <c:v>应用型人才培养模式</c:v>
                </c:pt>
                <c:pt idx="18">
                  <c:v>肺炎克雷伯菌</c:v>
                </c:pt>
                <c:pt idx="19">
                  <c:v>红色经典阅读</c:v>
                </c:pt>
                <c:pt idx="20">
                  <c:v>伪狂犬病毒</c:v>
                </c:pt>
                <c:pt idx="21">
                  <c:v>烟嘧磺隆</c:v>
                </c:pt>
                <c:pt idx="22">
                  <c:v>国际货代</c:v>
                </c:pt>
                <c:pt idx="23">
                  <c:v>光合特性</c:v>
                </c:pt>
                <c:pt idx="24">
                  <c:v>真空冷冻干燥</c:v>
                </c:pt>
                <c:pt idx="25">
                  <c:v>病原菌鉴定</c:v>
                </c:pt>
                <c:pt idx="26">
                  <c:v>细菌坚定</c:v>
                </c:pt>
                <c:pt idx="27">
                  <c:v>后进生</c:v>
                </c:pt>
                <c:pt idx="28">
                  <c:v>文旅特色小镇</c:v>
                </c:pt>
                <c:pt idx="29">
                  <c:v>成果导向</c:v>
                </c:pt>
                <c:pt idx="30">
                  <c:v>宽窄行间作</c:v>
                </c:pt>
                <c:pt idx="31">
                  <c:v>腺毛菊苣</c:v>
                </c:pt>
                <c:pt idx="32">
                  <c:v>智慧校园建设</c:v>
                </c:pt>
                <c:pt idx="33">
                  <c:v>沙门氏菌</c:v>
                </c:pt>
                <c:pt idx="34">
                  <c:v>乡规民约</c:v>
                </c:pt>
                <c:pt idx="35">
                  <c:v>AHP</c:v>
                </c:pt>
                <c:pt idx="36">
                  <c:v>新疆杂草黑麦</c:v>
                </c:pt>
                <c:pt idx="37">
                  <c:v>空间相关性</c:v>
                </c:pt>
                <c:pt idx="38">
                  <c:v>思政建设</c:v>
                </c:pt>
              </c:strCache>
            </c:strRef>
          </c:cat>
          <c:val>
            <c:numRef>
              <c:f>'[CNKI-2021第三季度发文.xlsx]2.主题'!$B$18:$B$56</c:f>
              <c:numCache>
                <c:formatCode>General</c:formatCode>
                <c:ptCount val="39"/>
                <c:pt idx="0">
                  <c:v>2</c:v>
                </c:pt>
                <c:pt idx="1">
                  <c:v>2</c:v>
                </c:pt>
                <c:pt idx="2">
                  <c:v>2</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'[CNKI-2021第三季度发文.xlsx]2.主题'!$G$33</c:f>
              <c:strCache>
                <c:ptCount val="1"/>
                <c:pt idx="0">
                  <c:v>发文量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Pt>
            <c:idx val="35"/>
            <c:bubble3D val="0"/>
            <c:spPr>
              <a:solidFill>
                <a:schemeClr val="accent6">
                  <a:lumMod val="5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'[CNKI-2021第三季度发文.xlsx]2.主题'!$F$34:$F$69</c:f>
              <c:strCache>
                <c:ptCount val="36"/>
                <c:pt idx="0">
                  <c:v>平均车速</c:v>
                </c:pt>
                <c:pt idx="1">
                  <c:v>交通需求管理</c:v>
                </c:pt>
                <c:pt idx="2">
                  <c:v>饱和度</c:v>
                </c:pt>
                <c:pt idx="3">
                  <c:v>Logistic曲线</c:v>
                </c:pt>
                <c:pt idx="4">
                  <c:v>城市交通</c:v>
                </c:pt>
                <c:pt idx="5">
                  <c:v>机动车保有量</c:v>
                </c:pt>
                <c:pt idx="6">
                  <c:v>储备量</c:v>
                </c:pt>
                <c:pt idx="7">
                  <c:v>帕金森病</c:v>
                </c:pt>
                <c:pt idx="8">
                  <c:v>体医结合</c:v>
                </c:pt>
                <c:pt idx="9">
                  <c:v>国内生产总值</c:v>
                </c:pt>
                <c:pt idx="10">
                  <c:v>阈值分割</c:v>
                </c:pt>
                <c:pt idx="11">
                  <c:v>施氮处理</c:v>
                </c:pt>
                <c:pt idx="12">
                  <c:v>就业难问题</c:v>
                </c:pt>
                <c:pt idx="13">
                  <c:v>成交价格</c:v>
                </c:pt>
                <c:pt idx="14">
                  <c:v>生长性状</c:v>
                </c:pt>
                <c:pt idx="15">
                  <c:v>换算系数</c:v>
                </c:pt>
                <c:pt idx="16">
                  <c:v>不同倍性</c:v>
                </c:pt>
                <c:pt idx="17">
                  <c:v>骨代谢紊乱</c:v>
                </c:pt>
                <c:pt idx="18">
                  <c:v>二倍体</c:v>
                </c:pt>
                <c:pt idx="19">
                  <c:v>饲养模式</c:v>
                </c:pt>
                <c:pt idx="20">
                  <c:v>氨基酸含量</c:v>
                </c:pt>
                <c:pt idx="21">
                  <c:v>停车许可证</c:v>
                </c:pt>
                <c:pt idx="22">
                  <c:v>Matlab R2015b</c:v>
                </c:pt>
                <c:pt idx="23">
                  <c:v>旅游业</c:v>
                </c:pt>
                <c:pt idx="24">
                  <c:v>中枢神经系统</c:v>
                </c:pt>
                <c:pt idx="25">
                  <c:v>旅游者</c:v>
                </c:pt>
                <c:pt idx="26">
                  <c:v>育人功能</c:v>
                </c:pt>
                <c:pt idx="27">
                  <c:v>常态化</c:v>
                </c:pt>
                <c:pt idx="28">
                  <c:v>无纸化</c:v>
                </c:pt>
                <c:pt idx="29">
                  <c:v>出苗率</c:v>
                </c:pt>
                <c:pt idx="30">
                  <c:v>“互联网+”教育</c:v>
                </c:pt>
                <c:pt idx="31">
                  <c:v>高等院校图书馆</c:v>
                </c:pt>
                <c:pt idx="32">
                  <c:v>黄淮冬麦区</c:v>
                </c:pt>
                <c:pt idx="33">
                  <c:v>制定程序</c:v>
                </c:pt>
                <c:pt idx="34">
                  <c:v>候选基因</c:v>
                </c:pt>
                <c:pt idx="35">
                  <c:v>河北科技师范学院</c:v>
                </c:pt>
              </c:strCache>
            </c:strRef>
          </c:cat>
          <c:val>
            <c:numRef>
              <c:f>'[CNKI-2021第三季度发文.xlsx]2.主题'!$G$34:$G$69</c:f>
              <c:numCache>
                <c:formatCode>General</c:formatCode>
                <c:ptCount val="36"/>
                <c:pt idx="0">
                  <c:v>2</c:v>
                </c:pt>
                <c:pt idx="1">
                  <c:v>2</c:v>
                </c:pt>
                <c:pt idx="2">
                  <c:v>2</c:v>
                </c:pt>
                <c:pt idx="3">
                  <c:v>2</c:v>
                </c:pt>
                <c:pt idx="4">
                  <c:v>2</c:v>
                </c:pt>
                <c:pt idx="5">
                  <c:v>2</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'[CNKI-2021第三季度发文.xlsx]3.关键词'!$C$3:$C$20</c:f>
              <c:strCache>
                <c:ptCount val="18"/>
                <c:pt idx="0">
                  <c:v>板栗</c:v>
                </c:pt>
                <c:pt idx="1">
                  <c:v>产量</c:v>
                </c:pt>
                <c:pt idx="2">
                  <c:v>Logistic曲线</c:v>
                </c:pt>
                <c:pt idx="3">
                  <c:v>城市交通</c:v>
                </c:pt>
                <c:pt idx="4">
                  <c:v>非线性动力模型</c:v>
                </c:pt>
                <c:pt idx="5">
                  <c:v>交通需求管理</c:v>
                </c:pt>
                <c:pt idx="6">
                  <c:v>课程思政</c:v>
                </c:pt>
                <c:pt idx="7">
                  <c:v>流转</c:v>
                </c:pt>
                <c:pt idx="8">
                  <c:v>耐药性</c:v>
                </c:pt>
                <c:pt idx="9">
                  <c:v>农村</c:v>
                </c:pt>
                <c:pt idx="10">
                  <c:v>人才培养</c:v>
                </c:pt>
                <c:pt idx="11">
                  <c:v>肉品质</c:v>
                </c:pt>
                <c:pt idx="12">
                  <c:v>生长性能</c:v>
                </c:pt>
                <c:pt idx="13">
                  <c:v>土地承包经营权</c:v>
                </c:pt>
                <c:pt idx="14">
                  <c:v>稳定性</c:v>
                </c:pt>
                <c:pt idx="15">
                  <c:v>小麦</c:v>
                </c:pt>
                <c:pt idx="16">
                  <c:v>运动</c:v>
                </c:pt>
                <c:pt idx="17">
                  <c:v>致病性</c:v>
                </c:pt>
              </c:strCache>
            </c:strRef>
          </c:cat>
          <c:val>
            <c:numRef>
              <c:f>'[CNKI-2021第三季度发文.xlsx]3.关键词'!$D$3:$D$20</c:f>
              <c:numCache>
                <c:formatCode>General</c:formatCode>
                <c:ptCount val="18"/>
                <c:pt idx="0">
                  <c:v>4</c:v>
                </c:pt>
                <c:pt idx="1">
                  <c:v>3</c:v>
                </c:pt>
                <c:pt idx="2">
                  <c:v>2</c:v>
                </c:pt>
                <c:pt idx="3" c:formatCode="@">
                  <c:v>2</c:v>
                </c:pt>
                <c:pt idx="4">
                  <c:v>2</c:v>
                </c:pt>
                <c:pt idx="5">
                  <c:v>2</c:v>
                </c:pt>
                <c:pt idx="6">
                  <c:v>2</c:v>
                </c:pt>
                <c:pt idx="7">
                  <c:v>2</c:v>
                </c:pt>
                <c:pt idx="8">
                  <c:v>2</c:v>
                </c:pt>
                <c:pt idx="9" c:formatCode="@">
                  <c:v>2</c:v>
                </c:pt>
                <c:pt idx="10">
                  <c:v>2</c:v>
                </c:pt>
                <c:pt idx="11">
                  <c:v>2</c:v>
                </c:pt>
                <c:pt idx="12">
                  <c:v>2</c:v>
                </c:pt>
                <c:pt idx="13">
                  <c:v>2</c:v>
                </c:pt>
                <c:pt idx="14">
                  <c:v>2</c:v>
                </c:pt>
                <c:pt idx="15">
                  <c:v>2</c:v>
                </c:pt>
                <c:pt idx="16">
                  <c:v>2</c:v>
                </c:pt>
                <c:pt idx="17">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'[CNKI-2021第三季度发文.xlsx]7.合作单位'!$D$4:$D$15</c:f>
              <c:strCache>
                <c:ptCount val="12"/>
                <c:pt idx="0">
                  <c:v>燕山大学</c:v>
                </c:pt>
                <c:pt idx="1">
                  <c:v>北京航空航天大学</c:v>
                </c:pt>
                <c:pt idx="2">
                  <c:v>北京工业大学</c:v>
                </c:pt>
                <c:pt idx="3">
                  <c:v>河北农业大学</c:v>
                </c:pt>
                <c:pt idx="4">
                  <c:v>中国农业科学院</c:v>
                </c:pt>
                <c:pt idx="5">
                  <c:v>扬州大学</c:v>
                </c:pt>
                <c:pt idx="6">
                  <c:v>北京交通大学</c:v>
                </c:pt>
                <c:pt idx="7">
                  <c:v>河北旅游职业学院</c:v>
                </c:pt>
                <c:pt idx="8">
                  <c:v>河北省昌黎县农业农村局</c:v>
                </c:pt>
                <c:pt idx="9">
                  <c:v>河北省公共政策评估研究中心</c:v>
                </c:pt>
                <c:pt idx="10">
                  <c:v>河北省特色动物种质资源挖掘与创新重点实验室</c:v>
                </c:pt>
                <c:pt idx="11">
                  <c:v>河北师范大学</c:v>
                </c:pt>
              </c:strCache>
            </c:strRef>
          </c:cat>
          <c:val>
            <c:numRef>
              <c:f>'[CNKI-2021第三季度发文.xlsx]7.合作单位'!$E$4:$E$15</c:f>
              <c:numCache>
                <c:formatCode>General</c:formatCode>
                <c:ptCount val="12"/>
                <c:pt idx="0">
                  <c:v>9</c:v>
                </c:pt>
                <c:pt idx="1">
                  <c:v>6</c:v>
                </c:pt>
                <c:pt idx="2">
                  <c:v>4</c:v>
                </c:pt>
                <c:pt idx="3">
                  <c:v>4</c:v>
                </c:pt>
                <c:pt idx="4" c:formatCode="@">
                  <c:v>4</c:v>
                </c:pt>
                <c:pt idx="5">
                  <c:v>3</c:v>
                </c:pt>
                <c:pt idx="6">
                  <c:v>2</c:v>
                </c:pt>
                <c:pt idx="7">
                  <c:v>2</c:v>
                </c:pt>
                <c:pt idx="8" c:formatCode="@">
                  <c:v>2</c:v>
                </c:pt>
                <c:pt idx="9">
                  <c:v>2</c:v>
                </c:pt>
                <c:pt idx="10">
                  <c:v>2</c:v>
                </c:pt>
                <c:pt idx="11">
                  <c:v>2</c:v>
                </c:pt>
              </c:numCache>
            </c:numRef>
          </c:val>
        </c:ser>
        <c:dLbls>
          <c:showLegendKey val="0"/>
          <c:showVal val="0"/>
          <c:showCatName val="0"/>
          <c:showSerName val="0"/>
          <c:showPercent val="0"/>
          <c:showBubbleSize val="0"/>
        </c:dLbls>
        <c:axId val="24017031"/>
        <c:axId val="343377804"/>
      </c:radarChart>
      <c:catAx>
        <c:axId val="240170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3377804"/>
        <c:crosses val="autoZero"/>
        <c:auto val="1"/>
        <c:lblAlgn val="ctr"/>
        <c:lblOffset val="100"/>
        <c:noMultiLvlLbl val="0"/>
      </c:catAx>
      <c:valAx>
        <c:axId val="3433778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017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3670</Words>
  <Characters>5873</Characters>
  <Lines>0</Lines>
  <Paragraphs>0</Paragraphs>
  <TotalTime>0</TotalTime>
  <ScaleCrop>false</ScaleCrop>
  <LinksUpToDate>false</LinksUpToDate>
  <CharactersWithSpaces>6204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2023-04-13T02:04:14Z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