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6" name="等腰三角形 6"/>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mBZXYAAAA&#10;DAEAAA8AAAAAAAAAAQAgAAAAIgAAAGRycy9kb3ducmV2LnhtbFBLAQIUABQAAAAIAIdO4kBUl/78&#10;HQIAAAUEAAAOAAAAAAAAAAEAIAAAACcBAABkcnMvZTJvRG9jLnhtbFBLBQYAAAAABgAGAFkBAAC2&#10;BQ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bookmarkStart w:id="50" w:name="_GoBack"/>
      <w:bookmarkEnd w:id="50"/>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7"/>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2021年第四季度发文分析报告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2021年第四季度发文分析报告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4"/>
            <w:tabs>
              <w:tab w:val="right" w:leader="dot" w:pos="8306"/>
            </w:tabs>
          </w:pP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_Toc27124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_Toc27124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_Toc9429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_Toc9429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_Toc13797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_Toc13797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_Toc12813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_Toc12813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_Toc18807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_Toc18807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_Toc26895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_Toc14671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_Toc14671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_Toc20070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_Toc20070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_Toc1227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_Toc11027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_Toc11027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_Toc6485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_Toc6485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_Toc30132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_Toc30132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_Toc21873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_Toc21873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_Toc20317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_Toc28452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_Toc28452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_Toc7259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_Toc7259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_Toc3968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_Toc3968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10099"/>
      <w:bookmarkStart w:id="1" w:name="_Toc28842"/>
      <w:r>
        <w:rPr>
          <w:rFonts w:hint="eastAsia" w:ascii="宋体" w:hAnsi="宋体" w:eastAsia="宋体" w:cs="宋体"/>
          <w:b/>
          <w:bCs/>
          <w:sz w:val="24"/>
          <w:szCs w:val="24"/>
        </w:rPr>
        <w:t>数据来源</w:t>
      </w:r>
      <w:bookmarkEnd w:id="0"/>
      <w:bookmarkEnd w:id="1"/>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（1）中国知网（CNKI），主要用于国内期刊论文的统计分析，数据统计下载日期为20</w:t>
      </w:r>
      <w:r>
        <w:rPr>
          <w:rFonts w:hint="eastAsia" w:ascii="宋体" w:hAnsi="宋体" w:eastAsia="宋体" w:cs="宋体"/>
          <w:sz w:val="24"/>
          <w:szCs w:val="24"/>
          <w:lang w:val="en-US" w:eastAsia="zh-CN"/>
        </w:rPr>
        <w:t>22</w:t>
      </w:r>
      <w:r>
        <w:rPr>
          <w:rFonts w:hint="eastAsia" w:ascii="宋体" w:hAnsi="宋体" w:eastAsia="宋体" w:cs="宋体"/>
          <w:sz w:val="24"/>
          <w:szCs w:val="24"/>
        </w:rPr>
        <w:t>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eastAsia="宋体" w:cs="宋体"/>
          <w:sz w:val="24"/>
          <w:szCs w:val="24"/>
          <w:lang w:val="en-US" w:eastAsia="zh-CN"/>
        </w:rPr>
        <w:t>05</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2022</w:t>
      </w:r>
      <w:r>
        <w:rPr>
          <w:rFonts w:hint="eastAsia" w:ascii="宋体" w:hAnsi="宋体" w:eastAsia="宋体" w:cs="宋体"/>
          <w:sz w:val="24"/>
          <w:szCs w:val="24"/>
        </w:rPr>
        <w:t>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eastAsia="宋体" w:cs="宋体"/>
          <w:sz w:val="24"/>
          <w:szCs w:val="24"/>
          <w:lang w:val="en-US" w:eastAsia="zh-CN"/>
        </w:rPr>
        <w:t>11</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2" w:name="_Toc27687"/>
      <w:bookmarkStart w:id="3" w:name="_Toc9355"/>
      <w:r>
        <w:rPr>
          <w:rFonts w:hint="eastAsia" w:ascii="宋体" w:hAnsi="宋体" w:eastAsia="宋体" w:cs="宋体"/>
          <w:b/>
          <w:bCs/>
          <w:sz w:val="24"/>
          <w:szCs w:val="24"/>
        </w:rPr>
        <w:t>数据处理</w:t>
      </w:r>
      <w:bookmarkEnd w:id="2"/>
      <w:bookmarkEnd w:id="3"/>
    </w:p>
    <w:p>
      <w:pPr>
        <w:spacing w:line="480" w:lineRule="auto"/>
        <w:ind w:firstLine="480" w:firstLineChars="200"/>
        <w:outlineLvl w:val="0"/>
        <w:rPr>
          <w:rFonts w:hint="eastAsia" w:ascii="宋体" w:hAnsi="宋体" w:eastAsia="宋体" w:cs="宋体"/>
          <w:sz w:val="24"/>
          <w:szCs w:val="24"/>
        </w:rPr>
      </w:pPr>
      <w:bookmarkStart w:id="4"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4"/>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5" w:name="_Toc5375"/>
      <w:bookmarkStart w:id="6" w:name="_Toc30686"/>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5"/>
      <w:bookmarkEnd w:id="6"/>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7" w:name="_Toc16630"/>
      <w:bookmarkStart w:id="8"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7"/>
      <w:bookmarkEnd w:id="8"/>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9" w:name="_Toc10613"/>
      <w:bookmarkStart w:id="10" w:name="_Toc7382"/>
      <w:bookmarkStart w:id="11" w:name="_Toc9858"/>
      <w:r>
        <w:rPr>
          <w:rFonts w:hint="eastAsia" w:ascii="黑体" w:hAnsi="黑体" w:eastAsia="黑体" w:cs="黑体"/>
          <w:b/>
          <w:bCs/>
          <w:sz w:val="44"/>
          <w:szCs w:val="44"/>
          <w:lang w:val="en-US" w:eastAsia="zh-CN"/>
        </w:rPr>
        <w:t>河北科技师范学院</w:t>
      </w:r>
      <w:bookmarkEnd w:id="9"/>
      <w:bookmarkEnd w:id="10"/>
      <w:bookmarkEnd w:id="11"/>
    </w:p>
    <w:p>
      <w:pPr>
        <w:jc w:val="center"/>
        <w:outlineLvl w:val="0"/>
        <w:rPr>
          <w:rFonts w:hint="eastAsia" w:ascii="黑体" w:hAnsi="黑体" w:eastAsia="黑体" w:cs="黑体"/>
          <w:b/>
          <w:bCs/>
          <w:sz w:val="44"/>
          <w:szCs w:val="44"/>
          <w:lang w:val="en-US" w:eastAsia="zh-CN"/>
        </w:rPr>
      </w:pPr>
      <w:bookmarkStart w:id="12" w:name="_Toc15096"/>
      <w:bookmarkStart w:id="13" w:name="_Toc9198"/>
      <w:bookmarkStart w:id="14" w:name="_Toc8013"/>
      <w:r>
        <w:rPr>
          <w:rFonts w:hint="eastAsia" w:ascii="黑体" w:hAnsi="黑体" w:eastAsia="黑体" w:cs="黑体"/>
          <w:b/>
          <w:bCs/>
          <w:sz w:val="44"/>
          <w:szCs w:val="44"/>
          <w:lang w:val="en-US" w:eastAsia="zh-CN"/>
        </w:rPr>
        <w:t>2021年第四季度发文分析报告</w:t>
      </w:r>
      <w:bookmarkEnd w:id="12"/>
      <w:bookmarkEnd w:id="13"/>
      <w:bookmarkEnd w:id="14"/>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15" w:name="_Toc3849"/>
      <w:bookmarkStart w:id="16" w:name="_Toc27124"/>
      <w:r>
        <w:rPr>
          <w:rFonts w:hint="eastAsia" w:ascii="黑体" w:hAnsi="黑体" w:eastAsia="黑体" w:cs="黑体"/>
          <w:b/>
          <w:bCs/>
          <w:sz w:val="32"/>
          <w:szCs w:val="32"/>
          <w:lang w:val="en-US" w:eastAsia="zh-CN"/>
        </w:rPr>
        <w:t>中文发文情况统计分析</w:t>
      </w:r>
      <w:bookmarkEnd w:id="15"/>
      <w:bookmarkEnd w:id="16"/>
    </w:p>
    <w:p>
      <w:pPr>
        <w:numPr>
          <w:ilvl w:val="0"/>
          <w:numId w:val="2"/>
        </w:numPr>
        <w:jc w:val="both"/>
        <w:outlineLvl w:val="1"/>
        <w:rPr>
          <w:rFonts w:hint="eastAsia" w:ascii="仿宋" w:hAnsi="仿宋" w:eastAsia="仿宋" w:cs="仿宋"/>
          <w:b/>
          <w:bCs/>
          <w:sz w:val="30"/>
          <w:szCs w:val="30"/>
          <w:lang w:val="en-US" w:eastAsia="zh-CN"/>
        </w:rPr>
      </w:pPr>
      <w:bookmarkStart w:id="17" w:name="_Toc9429"/>
      <w:bookmarkStart w:id="18" w:name="_Toc30099"/>
      <w:r>
        <w:rPr>
          <w:rFonts w:hint="eastAsia" w:ascii="仿宋" w:hAnsi="仿宋" w:eastAsia="仿宋" w:cs="仿宋"/>
          <w:b/>
          <w:bCs/>
          <w:sz w:val="30"/>
          <w:szCs w:val="30"/>
          <w:lang w:val="en-US" w:eastAsia="zh-CN"/>
        </w:rPr>
        <w:t>发文量分析</w:t>
      </w:r>
      <w:bookmarkEnd w:id="17"/>
      <w:bookmarkEnd w:id="18"/>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年第四季度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123</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41</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98</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79.7</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2021年10月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21</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2021年11月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46</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2021年12月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48</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39</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123</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98</w:t>
            </w:r>
          </w:p>
        </w:tc>
      </w:tr>
    </w:tbl>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注：1.国内期刊论文：统计源为中国知网《中国引文数据库》，共计11225种期刊。</w:t>
      </w:r>
      <w:bookmarkStart w:id="19" w:name="_Toc25622"/>
    </w:p>
    <w:p>
      <w:pPr>
        <w:numPr>
          <w:ilvl w:val="0"/>
          <w:numId w:val="0"/>
        </w:numPr>
        <w:jc w:val="both"/>
        <w:outlineLvl w:val="1"/>
        <w:rPr>
          <w:rFonts w:hint="eastAsia" w:ascii="仿宋" w:hAnsi="仿宋" w:eastAsia="仿宋" w:cs="仿宋"/>
          <w:b/>
          <w:bCs/>
          <w:sz w:val="30"/>
          <w:szCs w:val="30"/>
          <w:lang w:val="en-US" w:eastAsia="zh-CN"/>
        </w:rPr>
      </w:pPr>
      <w:bookmarkStart w:id="20" w:name="_Toc13797"/>
      <w:r>
        <w:rPr>
          <w:rFonts w:hint="eastAsia" w:ascii="仿宋" w:hAnsi="仿宋" w:eastAsia="仿宋" w:cs="仿宋"/>
          <w:b/>
          <w:bCs/>
          <w:sz w:val="30"/>
          <w:szCs w:val="30"/>
          <w:lang w:val="en-US" w:eastAsia="zh-CN"/>
        </w:rPr>
        <w:t>2.论文主题分析</w:t>
      </w:r>
      <w:bookmarkEnd w:id="19"/>
      <w:bookmarkEnd w:id="20"/>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在2021年第四季度国内公开发表的123篇论文中，通过对主要主题词分析得到频次较高的主题词分布为：河北省、乡村振兴、秦皇岛市、研究进展、新时代等，具体分布频次详见图1。</w:t>
      </w: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在2021年第四季度国内公开发表的123篇论文中，通过对次要主题词分析得到频次较高的主题词分布为：乡村振兴、河北省、大肠杆菌、NAA等，具体分布频次详见图2。</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pPr>
      <w:bookmarkStart w:id="21" w:name="_Toc9501"/>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spacing w:line="480" w:lineRule="auto"/>
        <w:jc w:val="center"/>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22" w:name="_Toc12813"/>
      <w:r>
        <w:rPr>
          <w:rFonts w:hint="eastAsia" w:ascii="仿宋" w:hAnsi="仿宋" w:eastAsia="仿宋" w:cs="仿宋"/>
          <w:b/>
          <w:bCs/>
          <w:sz w:val="30"/>
          <w:szCs w:val="30"/>
          <w:lang w:val="en-US" w:eastAsia="zh-CN"/>
        </w:rPr>
        <w:t>3.关键词分析</w:t>
      </w:r>
      <w:bookmarkEnd w:id="2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综合分析2021年第四季度国内公开发表的123篇论文中，通过对关键词分析得到频次较高的关键词分布为：河北省、乡村振兴、大学生、发展现状、风景园林等，具体分布频次详见图3。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23"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23"/>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572000" cy="4105275"/>
            <wp:effectExtent l="4445" t="4445" r="14605" b="508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24" w:name="_Toc18807"/>
      <w:r>
        <w:rPr>
          <w:rFonts w:hint="eastAsia" w:ascii="仿宋" w:hAnsi="仿宋" w:eastAsia="仿宋" w:cs="仿宋"/>
          <w:b/>
          <w:bCs/>
          <w:sz w:val="30"/>
          <w:szCs w:val="30"/>
          <w:lang w:val="en-US" w:eastAsia="zh-CN"/>
        </w:rPr>
        <w:t>4.文献来源分析</w:t>
      </w:r>
      <w:bookmarkEnd w:id="21"/>
      <w:bookmarkEnd w:id="24"/>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内公开发表的123篇论文中，文献来源共计60种，主要集中在办公自动化、埋雷作物学报、安徽农业科学、办公室业务等。其中论文数在3篇以上的有2种，论文数2篇以上的有12种，发表论文最多的刊物是《办公自动化》。详见表2。</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pPr w:leftFromText="180" w:rightFromText="180" w:vertAnchor="text" w:horzAnchor="page" w:tblpX="1787" w:tblpY="326"/>
        <w:tblOverlap w:val="never"/>
        <w:tblW w:w="4998" w:type="pct"/>
        <w:tblInd w:w="0" w:type="dxa"/>
        <w:shd w:val="clear" w:color="auto" w:fill="auto"/>
        <w:tblLayout w:type="autofit"/>
        <w:tblCellMar>
          <w:top w:w="0" w:type="dxa"/>
          <w:left w:w="0" w:type="dxa"/>
          <w:bottom w:w="0" w:type="dxa"/>
          <w:right w:w="0" w:type="dxa"/>
        </w:tblCellMar>
      </w:tblPr>
      <w:tblGrid>
        <w:gridCol w:w="3892"/>
        <w:gridCol w:w="1994"/>
        <w:gridCol w:w="2447"/>
      </w:tblGrid>
      <w:tr>
        <w:tblPrEx>
          <w:shd w:val="clear" w:color="auto" w:fill="auto"/>
          <w:tblCellMar>
            <w:top w:w="0" w:type="dxa"/>
            <w:left w:w="0" w:type="dxa"/>
            <w:bottom w:w="0" w:type="dxa"/>
            <w:right w:w="0" w:type="dxa"/>
          </w:tblCellMar>
        </w:tblPrEx>
        <w:trPr>
          <w:trHeight w:val="615" w:hRule="atLeast"/>
        </w:trPr>
        <w:tc>
          <w:tcPr>
            <w:tcW w:w="2335"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6"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河北科技师范学院学报</w:t>
            </w:r>
          </w:p>
        </w:tc>
        <w:tc>
          <w:tcPr>
            <w:tcW w:w="1196"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0.524</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办公自动化</w:t>
            </w:r>
          </w:p>
        </w:tc>
        <w:tc>
          <w:tcPr>
            <w:tcW w:w="119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468"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现代化农业</w:t>
            </w:r>
          </w:p>
        </w:tc>
        <w:tc>
          <w:tcPr>
            <w:tcW w:w="1196"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0.134</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河北科技师范学院学报(社会科学版)</w:t>
            </w:r>
          </w:p>
        </w:tc>
        <w:tc>
          <w:tcPr>
            <w:tcW w:w="1196"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6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0.145</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食品研究与开发</w:t>
            </w:r>
          </w:p>
        </w:tc>
        <w:tc>
          <w:tcPr>
            <w:tcW w:w="1196"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1.48</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当代体育科技</w:t>
            </w:r>
          </w:p>
        </w:tc>
        <w:tc>
          <w:tcPr>
            <w:tcW w:w="1196"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68"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0.055</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绿色科技</w:t>
            </w:r>
          </w:p>
        </w:tc>
        <w:tc>
          <w:tcPr>
            <w:tcW w:w="1196"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6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0.139</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山西农经</w:t>
            </w:r>
          </w:p>
        </w:tc>
        <w:tc>
          <w:tcPr>
            <w:tcW w:w="1196"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68"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0.062</w:t>
            </w:r>
          </w:p>
        </w:tc>
      </w:tr>
      <w:tr>
        <w:tblPrEx>
          <w:shd w:val="clear" w:color="auto" w:fill="auto"/>
          <w:tblCellMar>
            <w:top w:w="0" w:type="dxa"/>
            <w:left w:w="0" w:type="dxa"/>
            <w:bottom w:w="0" w:type="dxa"/>
            <w:right w:w="0" w:type="dxa"/>
          </w:tblCellMar>
        </w:tblPrEx>
        <w:trPr>
          <w:trHeight w:val="500" w:hRule="atLeast"/>
        </w:trPr>
        <w:tc>
          <w:tcPr>
            <w:tcW w:w="2335" w:type="pct"/>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科技风</w:t>
            </w:r>
          </w:p>
        </w:tc>
        <w:tc>
          <w:tcPr>
            <w:tcW w:w="1196"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jc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bookmarkStart w:id="25" w:name="_Toc9095"/>
            <w:r>
              <w:rPr>
                <w:rFonts w:hint="eastAsia" w:ascii="仿宋" w:hAnsi="仿宋" w:eastAsia="仿宋" w:cs="仿宋"/>
                <w:i w:val="0"/>
                <w:iCs w:val="0"/>
                <w:color w:val="000000"/>
                <w:kern w:val="0"/>
                <w:sz w:val="24"/>
                <w:szCs w:val="24"/>
                <w:u w:val="none"/>
                <w:lang w:val="en-US" w:eastAsia="zh-CN" w:bidi="ar"/>
              </w:rPr>
              <w:t>科技视界</w:t>
            </w:r>
          </w:p>
        </w:tc>
        <w:tc>
          <w:tcPr>
            <w:tcW w:w="11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农业与技术</w:t>
            </w:r>
          </w:p>
        </w:tc>
        <w:tc>
          <w:tcPr>
            <w:tcW w:w="1196"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0.133</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石家庄学院学报</w:t>
            </w:r>
          </w:p>
        </w:tc>
        <w:tc>
          <w:tcPr>
            <w:tcW w:w="11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0.193</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食品工业科技</w:t>
            </w:r>
          </w:p>
        </w:tc>
        <w:tc>
          <w:tcPr>
            <w:tcW w:w="1196"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1.567</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投资与创业</w:t>
            </w:r>
          </w:p>
        </w:tc>
        <w:tc>
          <w:tcPr>
            <w:tcW w:w="11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植物保护</w:t>
            </w:r>
          </w:p>
        </w:tc>
        <w:tc>
          <w:tcPr>
            <w:tcW w:w="1196"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3.225</w:t>
            </w:r>
          </w:p>
        </w:tc>
      </w:tr>
      <w:tr>
        <w:tblPrEx>
          <w:shd w:val="clear" w:color="auto" w:fill="auto"/>
          <w:tblCellMar>
            <w:top w:w="0" w:type="dxa"/>
            <w:left w:w="0" w:type="dxa"/>
            <w:bottom w:w="0" w:type="dxa"/>
            <w:right w:w="0" w:type="dxa"/>
          </w:tblCellMar>
        </w:tblPrEx>
        <w:trPr>
          <w:trHeight w:val="500" w:hRule="atLeast"/>
        </w:trPr>
        <w:tc>
          <w:tcPr>
            <w:tcW w:w="23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中国预防兽医学报</w:t>
            </w:r>
          </w:p>
        </w:tc>
        <w:tc>
          <w:tcPr>
            <w:tcW w:w="11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0.772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26" w:name="_Toc26895"/>
      <w:r>
        <w:rPr>
          <w:rFonts w:hint="eastAsia" w:ascii="仿宋" w:hAnsi="仿宋" w:eastAsia="仿宋" w:cs="仿宋"/>
          <w:b/>
          <w:bCs/>
          <w:sz w:val="30"/>
          <w:szCs w:val="30"/>
          <w:lang w:val="en-US" w:eastAsia="zh-CN"/>
        </w:rPr>
        <w:t>5.学科分析</w:t>
      </w:r>
      <w:bookmarkEnd w:id="25"/>
      <w:bookmarkEnd w:id="26"/>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综合分析2021年第四季度国内公开发表的123篇论文中，分别从属20门学科</w:t>
      </w:r>
      <w:r>
        <w:rPr>
          <w:rFonts w:hint="eastAsia" w:ascii="仿宋" w:hAnsi="仿宋" w:eastAsia="仿宋" w:cs="仿宋"/>
          <w:sz w:val="28"/>
          <w:szCs w:val="28"/>
        </w:rPr>
        <w:t>，其中</w:t>
      </w:r>
      <w:r>
        <w:rPr>
          <w:rFonts w:hint="eastAsia" w:ascii="仿宋" w:hAnsi="仿宋" w:eastAsia="仿宋" w:cs="仿宋"/>
          <w:sz w:val="28"/>
          <w:szCs w:val="28"/>
          <w:lang w:val="en-US" w:eastAsia="zh-CN"/>
        </w:rPr>
        <w:t>园艺、高等教育、畜牧与动物医学、农作物、旅游、计算机软件及计算机技术等学科发文超过5篇，园艺和高等教育发文量最多，发文11篇，具体情况见表3。</w:t>
      </w: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shd w:val="clear" w:color="auto" w:fill="auto"/>
        <w:tblLayout w:type="autofit"/>
        <w:tblCellMar>
          <w:top w:w="0" w:type="dxa"/>
          <w:left w:w="0" w:type="dxa"/>
          <w:bottom w:w="0" w:type="dxa"/>
          <w:right w:w="0" w:type="dxa"/>
        </w:tblCellMar>
      </w:tblPr>
      <w:tblGrid>
        <w:gridCol w:w="649"/>
        <w:gridCol w:w="2717"/>
        <w:gridCol w:w="899"/>
        <w:gridCol w:w="704"/>
        <w:gridCol w:w="2507"/>
        <w:gridCol w:w="860"/>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2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22"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0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高等教育</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42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7</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生物学</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农业经济</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4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50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体育</w:t>
            </w:r>
          </w:p>
        </w:tc>
        <w:tc>
          <w:tcPr>
            <w:tcW w:w="86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畜牧与动物医学</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42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9</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植物保护</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园艺</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2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农业工程</w:t>
            </w:r>
          </w:p>
        </w:tc>
        <w:tc>
          <w:tcPr>
            <w:tcW w:w="8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计算机软件及计算机技术</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2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11</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轻工业手工业</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建筑科学与工程</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2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p>
        </w:tc>
        <w:tc>
          <w:tcPr>
            <w:tcW w:w="150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pPr>
        <w:numPr>
          <w:ilvl w:val="0"/>
          <w:numId w:val="0"/>
        </w:numPr>
        <w:jc w:val="both"/>
        <w:outlineLvl w:val="1"/>
        <w:rPr>
          <w:rFonts w:hint="eastAsia" w:ascii="仿宋" w:hAnsi="仿宋" w:eastAsia="仿宋" w:cs="仿宋"/>
          <w:b/>
          <w:bCs/>
          <w:sz w:val="30"/>
          <w:szCs w:val="30"/>
          <w:lang w:val="en-US" w:eastAsia="zh-CN"/>
        </w:rPr>
      </w:pPr>
      <w:bookmarkStart w:id="27" w:name="_Toc28217"/>
    </w:p>
    <w:p>
      <w:pPr>
        <w:numPr>
          <w:ilvl w:val="0"/>
          <w:numId w:val="0"/>
        </w:numPr>
        <w:jc w:val="both"/>
        <w:outlineLvl w:val="1"/>
        <w:rPr>
          <w:rFonts w:hint="eastAsia" w:ascii="仿宋" w:hAnsi="仿宋" w:eastAsia="仿宋" w:cs="仿宋"/>
          <w:b/>
          <w:bCs/>
          <w:sz w:val="30"/>
          <w:szCs w:val="30"/>
          <w:lang w:val="en-US" w:eastAsia="zh-CN"/>
        </w:rPr>
      </w:pPr>
      <w:bookmarkStart w:id="28" w:name="_Toc14671"/>
      <w:r>
        <w:rPr>
          <w:rFonts w:hint="eastAsia" w:ascii="仿宋" w:hAnsi="仿宋" w:eastAsia="仿宋" w:cs="仿宋"/>
          <w:b/>
          <w:bCs/>
          <w:sz w:val="30"/>
          <w:szCs w:val="30"/>
          <w:lang w:val="en-US" w:eastAsia="zh-CN"/>
        </w:rPr>
        <w:t>6.作者分析</w:t>
      </w:r>
      <w:bookmarkEnd w:id="27"/>
      <w:r>
        <w:rPr>
          <w:rFonts w:hint="eastAsia" w:ascii="仿宋" w:hAnsi="仿宋" w:eastAsia="仿宋" w:cs="仿宋"/>
          <w:b w:val="0"/>
          <w:bCs w:val="0"/>
          <w:sz w:val="30"/>
          <w:szCs w:val="30"/>
          <w:lang w:val="en-US" w:eastAsia="zh-CN"/>
        </w:rPr>
        <w:t>（第一作者）</w:t>
      </w:r>
      <w:bookmarkEnd w:id="28"/>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综合分析2021年第四季度国内公开发表的123篇论文中，发文超过两篇文献的作者有3人，发文量较高的是：陆冬梅、王鹏飞、王燕等。详情见表4。</w:t>
      </w: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表4河北科技师范学院2021年第四季度国内期刊发文作者统计表</w:t>
      </w:r>
    </w:p>
    <w:tbl>
      <w:tblPr>
        <w:tblStyle w:val="6"/>
        <w:tblpPr w:leftFromText="180" w:rightFromText="180" w:vertAnchor="text" w:horzAnchor="page" w:tblpX="1787" w:tblpY="606"/>
        <w:tblOverlap w:val="never"/>
        <w:tblW w:w="4998" w:type="pct"/>
        <w:tblInd w:w="0" w:type="dxa"/>
        <w:shd w:val="clear" w:color="auto" w:fill="auto"/>
        <w:tblLayout w:type="autofit"/>
        <w:tblCellMar>
          <w:top w:w="0" w:type="dxa"/>
          <w:left w:w="0" w:type="dxa"/>
          <w:bottom w:w="0" w:type="dxa"/>
          <w:right w:w="0" w:type="dxa"/>
        </w:tblCellMar>
      </w:tblPr>
      <w:tblGrid>
        <w:gridCol w:w="960"/>
        <w:gridCol w:w="1832"/>
        <w:gridCol w:w="1364"/>
        <w:gridCol w:w="4177"/>
      </w:tblGrid>
      <w:tr>
        <w:tblPrEx>
          <w:shd w:val="clear" w:color="auto" w:fill="auto"/>
        </w:tblPrEx>
        <w:trPr>
          <w:trHeight w:val="615" w:hRule="atLeast"/>
        </w:trPr>
        <w:tc>
          <w:tcPr>
            <w:tcW w:w="576"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shd w:val="clear" w:color="auto" w:fill="auto"/>
          <w:tblCellMar>
            <w:top w:w="0" w:type="dxa"/>
            <w:left w:w="0" w:type="dxa"/>
            <w:bottom w:w="0" w:type="dxa"/>
            <w:right w:w="0" w:type="dxa"/>
          </w:tblCellMar>
        </w:tblPrEx>
        <w:trPr>
          <w:trHeight w:val="500" w:hRule="atLeast"/>
        </w:trPr>
        <w:tc>
          <w:tcPr>
            <w:tcW w:w="576"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09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陆冬梅</w:t>
            </w:r>
          </w:p>
        </w:tc>
        <w:tc>
          <w:tcPr>
            <w:tcW w:w="81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财经学院</w:t>
            </w:r>
          </w:p>
        </w:tc>
      </w:tr>
      <w:tr>
        <w:tblPrEx>
          <w:shd w:val="clear" w:color="auto" w:fill="auto"/>
          <w:tblCellMar>
            <w:top w:w="0" w:type="dxa"/>
            <w:left w:w="0" w:type="dxa"/>
            <w:bottom w:w="0" w:type="dxa"/>
            <w:right w:w="0" w:type="dxa"/>
          </w:tblCellMar>
        </w:tblPrEx>
        <w:trPr>
          <w:trHeight w:val="500"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王鹏飞</w:t>
            </w:r>
          </w:p>
        </w:tc>
        <w:tc>
          <w:tcPr>
            <w:tcW w:w="818"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城市建设学院</w:t>
            </w:r>
          </w:p>
        </w:tc>
      </w:tr>
      <w:tr>
        <w:tblPrEx>
          <w:shd w:val="clear" w:color="auto" w:fill="auto"/>
          <w:tblCellMar>
            <w:top w:w="0" w:type="dxa"/>
            <w:left w:w="0" w:type="dxa"/>
            <w:bottom w:w="0" w:type="dxa"/>
            <w:right w:w="0" w:type="dxa"/>
          </w:tblCellMar>
        </w:tblPrEx>
        <w:trPr>
          <w:trHeight w:val="500" w:hRule="atLeast"/>
        </w:trPr>
        <w:tc>
          <w:tcPr>
            <w:tcW w:w="576"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09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王燕</w:t>
            </w:r>
          </w:p>
        </w:tc>
        <w:tc>
          <w:tcPr>
            <w:tcW w:w="81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工商管理学院</w:t>
            </w:r>
          </w:p>
        </w:tc>
      </w:tr>
    </w:tbl>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bookmarkStart w:id="29" w:name="_Toc23809"/>
    </w:p>
    <w:p>
      <w:pPr>
        <w:numPr>
          <w:ilvl w:val="0"/>
          <w:numId w:val="0"/>
        </w:numPr>
        <w:jc w:val="both"/>
        <w:outlineLvl w:val="1"/>
        <w:rPr>
          <w:rFonts w:hint="eastAsia" w:ascii="仿宋" w:hAnsi="仿宋" w:eastAsia="仿宋" w:cs="仿宋"/>
          <w:b/>
          <w:bCs/>
          <w:sz w:val="30"/>
          <w:szCs w:val="30"/>
          <w:lang w:val="en-US" w:eastAsia="zh-CN"/>
        </w:rPr>
      </w:pPr>
      <w:bookmarkStart w:id="30" w:name="_Toc20070"/>
    </w:p>
    <w:p>
      <w:pPr>
        <w:numPr>
          <w:ilvl w:val="0"/>
          <w:numId w:val="0"/>
        </w:numPr>
        <w:jc w:val="both"/>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7.合作单位分析</w:t>
      </w:r>
      <w:bookmarkEnd w:id="29"/>
      <w:bookmarkEnd w:id="30"/>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综合分析2021年第四季度国内公开发表的123篇论文中，合作发文超过2篇的合作单位有11个，其中合作发文最多的是燕山大学，合作发文9篇，具体分布见图4。</w:t>
      </w:r>
    </w:p>
    <w:p>
      <w:pPr>
        <w:numPr>
          <w:ilvl w:val="0"/>
          <w:numId w:val="0"/>
        </w:numPr>
        <w:ind w:leftChars="0" w:firstLine="723" w:firstLineChars="3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bookmarkStart w:id="31" w:name="_Toc509"/>
    </w:p>
    <w:p>
      <w:p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5271770" cy="3072765"/>
            <wp:effectExtent l="4445" t="4445" r="19685" b="889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32" w:name="_Toc1227"/>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1"/>
      <w:bookmarkEnd w:id="32"/>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内公开发表的123篇论文中，基金资助超过两篇文章的有16个，其中资助文献最多的基金是国家自然科学基金项目和河北省自然科学基金项目，资助发文10篇，下表列举资助篇数超过三篇的基金项目，具体分布见表5。</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国家重点研发计划项目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2021年度河北省社会科学发展研究课题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河北省高等学校科学技术研究青年基金项目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河北科技师范学院2021年度习近平总书记“三农”工作重要论述专项研究课题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河北科技师范学院博士研究启动基金项目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河北科技师范学院海洋科学研究专项</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河北省创新能力提升计划项目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秦皇岛市科学技术研究与发展计划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11027"/>
      <w:r>
        <w:rPr>
          <w:rFonts w:hint="eastAsia" w:ascii="仿宋" w:hAnsi="仿宋" w:eastAsia="仿宋" w:cs="仿宋"/>
          <w:b/>
          <w:bCs/>
          <w:sz w:val="30"/>
          <w:szCs w:val="30"/>
          <w:lang w:val="en-US" w:eastAsia="zh-CN"/>
        </w:rPr>
        <w:t>9.指标分析</w:t>
      </w:r>
      <w:bookmarkEnd w:id="33"/>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综合分析2021年第四季度国内公开发表论文，文献总数123篇，总参考1548篇文献，篇均参考13.12篇文献；总被引7篇文献，篇均被引0.06篇文献；总下载文献数为10497，篇均下载文献数为88.96。详情参见表6.</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123</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1752</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22</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31933</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14.24</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0.18</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sz w:val="24"/>
                <w:szCs w:val="24"/>
                <w:lang w:val="en-US" w:eastAsia="zh-CN"/>
              </w:rPr>
            </w:pPr>
            <w:r>
              <w:rPr>
                <w:rFonts w:hint="eastAsia" w:ascii="仿宋" w:hAnsi="仿宋" w:eastAsia="仿宋" w:cs="仿宋"/>
                <w:i w:val="0"/>
                <w:iCs w:val="0"/>
                <w:color w:val="000000"/>
                <w:kern w:val="0"/>
                <w:sz w:val="22"/>
                <w:szCs w:val="22"/>
                <w:u w:val="none"/>
                <w:lang w:val="en-US" w:eastAsia="zh-CN" w:bidi="ar"/>
              </w:rPr>
              <w:t>259.62</w:t>
            </w:r>
          </w:p>
        </w:tc>
      </w:tr>
    </w:tbl>
    <w:p>
      <w:pPr>
        <w:numPr>
          <w:ilvl w:val="0"/>
          <w:numId w:val="0"/>
        </w:numPr>
        <w:jc w:val="both"/>
        <w:outlineLvl w:val="9"/>
        <w:rPr>
          <w:rFonts w:hint="eastAsia" w:ascii="黑体" w:hAnsi="黑体" w:eastAsia="黑体" w:cs="黑体"/>
          <w:b/>
          <w:bCs/>
          <w:sz w:val="30"/>
          <w:szCs w:val="30"/>
          <w:lang w:val="en-US" w:eastAsia="zh-CN"/>
        </w:rPr>
      </w:pPr>
      <w:bookmarkStart w:id="34" w:name="_Toc25917"/>
    </w:p>
    <w:p>
      <w:pPr>
        <w:numPr>
          <w:ilvl w:val="0"/>
          <w:numId w:val="0"/>
        </w:numPr>
        <w:jc w:val="both"/>
        <w:outlineLvl w:val="0"/>
        <w:rPr>
          <w:rFonts w:hint="eastAsia" w:ascii="黑体" w:hAnsi="黑体" w:eastAsia="黑体" w:cs="黑体"/>
          <w:b/>
          <w:bCs/>
          <w:sz w:val="30"/>
          <w:szCs w:val="30"/>
          <w:lang w:val="en-US" w:eastAsia="zh-CN"/>
        </w:rPr>
      </w:pPr>
      <w:bookmarkStart w:id="35" w:name="_Toc7297"/>
      <w:r>
        <w:rPr>
          <w:rFonts w:hint="eastAsia" w:ascii="黑体" w:hAnsi="黑体" w:eastAsia="黑体" w:cs="黑体"/>
          <w:b/>
          <w:bCs/>
          <w:sz w:val="32"/>
          <w:szCs w:val="32"/>
          <w:lang w:val="en-US" w:eastAsia="zh-CN"/>
        </w:rPr>
        <w:t>二、外文发文情况统计分析</w:t>
      </w:r>
      <w:bookmarkEnd w:id="34"/>
      <w:bookmarkEnd w:id="35"/>
    </w:p>
    <w:p>
      <w:pPr>
        <w:numPr>
          <w:ilvl w:val="0"/>
          <w:numId w:val="0"/>
        </w:numPr>
        <w:jc w:val="both"/>
        <w:outlineLvl w:val="1"/>
        <w:rPr>
          <w:rFonts w:hint="eastAsia" w:ascii="仿宋" w:hAnsi="仿宋" w:eastAsia="仿宋" w:cs="仿宋"/>
          <w:b/>
          <w:bCs/>
          <w:sz w:val="30"/>
          <w:szCs w:val="30"/>
          <w:lang w:val="en-US" w:eastAsia="zh-CN"/>
        </w:rPr>
      </w:pPr>
      <w:bookmarkStart w:id="36" w:name="_Toc4689"/>
      <w:bookmarkStart w:id="37" w:name="_Toc6485"/>
      <w:r>
        <w:rPr>
          <w:rFonts w:hint="eastAsia" w:ascii="仿宋" w:hAnsi="仿宋" w:eastAsia="仿宋" w:cs="仿宋"/>
          <w:b/>
          <w:bCs/>
          <w:sz w:val="30"/>
          <w:szCs w:val="30"/>
          <w:lang w:val="en-US" w:eastAsia="zh-CN"/>
        </w:rPr>
        <w:t>1.发文量分析</w:t>
      </w:r>
      <w:bookmarkEnd w:id="36"/>
      <w:bookmarkEnd w:id="37"/>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年第四季度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44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15</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18</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40.91</w:t>
      </w:r>
      <w:r>
        <w:rPr>
          <w:rFonts w:hint="eastAsia" w:ascii="仿宋" w:hAnsi="仿宋" w:eastAsia="仿宋" w:cs="仿宋"/>
          <w:sz w:val="28"/>
          <w:szCs w:val="28"/>
        </w:rPr>
        <w:t xml:space="preserve"> %。（见表</w:t>
      </w:r>
      <w:r>
        <w:rPr>
          <w:rFonts w:hint="eastAsia" w:ascii="仿宋" w:hAnsi="仿宋" w:eastAsia="仿宋" w:cs="仿宋"/>
          <w:sz w:val="28"/>
          <w:szCs w:val="28"/>
          <w:lang w:val="en-US" w:eastAsia="zh-CN"/>
        </w:rPr>
        <w:t>7</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b/>
          <w:bCs/>
          <w:sz w:val="24"/>
          <w:szCs w:val="24"/>
          <w:lang w:val="en-US" w:eastAsia="zh-CN"/>
        </w:rPr>
      </w:pP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2021年10月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2021年11月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2021年12月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等线" w:hAnsi="等线" w:eastAsia="等线" w:cs="等线"/>
                <w:i w:val="0"/>
                <w:iCs w:val="0"/>
                <w:color w:val="000000"/>
                <w:kern w:val="0"/>
                <w:sz w:val="22"/>
                <w:szCs w:val="22"/>
                <w:u w:val="none"/>
                <w:lang w:val="en-US" w:eastAsia="zh-CN" w:bidi="ar"/>
              </w:rPr>
              <w:t>18</w:t>
            </w:r>
          </w:p>
        </w:tc>
      </w:tr>
    </w:tbl>
    <w:p>
      <w:pPr>
        <w:numPr>
          <w:ilvl w:val="0"/>
          <w:numId w:val="0"/>
        </w:numPr>
        <w:jc w:val="both"/>
        <w:outlineLvl w:val="1"/>
        <w:rPr>
          <w:rFonts w:hint="eastAsia" w:ascii="仿宋" w:hAnsi="仿宋" w:eastAsia="仿宋" w:cs="仿宋"/>
          <w:b/>
          <w:bCs/>
          <w:sz w:val="30"/>
          <w:szCs w:val="30"/>
          <w:lang w:val="en-US" w:eastAsia="zh-CN"/>
        </w:rPr>
      </w:pPr>
      <w:bookmarkStart w:id="38" w:name="_Toc24142"/>
    </w:p>
    <w:p>
      <w:pPr>
        <w:numPr>
          <w:ilvl w:val="0"/>
          <w:numId w:val="0"/>
        </w:numPr>
        <w:jc w:val="both"/>
        <w:outlineLvl w:val="1"/>
        <w:rPr>
          <w:rFonts w:hint="eastAsia" w:ascii="仿宋" w:hAnsi="仿宋" w:eastAsia="仿宋" w:cs="仿宋"/>
          <w:b/>
          <w:bCs/>
          <w:sz w:val="30"/>
          <w:szCs w:val="30"/>
          <w:lang w:val="en-US" w:eastAsia="zh-CN"/>
        </w:rPr>
      </w:pPr>
      <w:bookmarkStart w:id="39" w:name="_Toc30132"/>
      <w:r>
        <w:rPr>
          <w:rFonts w:hint="eastAsia" w:ascii="仿宋" w:hAnsi="仿宋" w:eastAsia="仿宋" w:cs="仿宋"/>
          <w:b/>
          <w:bCs/>
          <w:sz w:val="30"/>
          <w:szCs w:val="30"/>
          <w:lang w:val="en-US" w:eastAsia="zh-CN"/>
        </w:rPr>
        <w:t>2.学科分析</w:t>
      </w:r>
      <w:bookmarkEnd w:id="38"/>
      <w:bookmarkEnd w:id="3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发文较多的学科列表见表8，其中</w:t>
      </w:r>
      <w:r>
        <w:rPr>
          <w:rFonts w:hint="default" w:ascii="Calibri" w:hAnsi="Calibri" w:eastAsia="宋体" w:cs="Calibri"/>
          <w:i w:val="0"/>
          <w:color w:val="000000"/>
          <w:kern w:val="0"/>
          <w:sz w:val="24"/>
          <w:szCs w:val="24"/>
          <w:u w:val="none"/>
          <w:lang w:val="en-US" w:eastAsia="zh-CN" w:bidi="ar"/>
        </w:rPr>
        <w:t>Chemistry, Multidisciplinary</w:t>
      </w:r>
      <w:r>
        <w:rPr>
          <w:rFonts w:hint="eastAsia" w:ascii="Calibri" w:hAnsi="Calibri" w:eastAsia="宋体" w:cs="Calibri"/>
          <w:i w:val="0"/>
          <w:color w:val="000000"/>
          <w:kern w:val="0"/>
          <w:sz w:val="24"/>
          <w:szCs w:val="24"/>
          <w:u w:val="none"/>
          <w:lang w:val="en-US" w:eastAsia="zh-CN" w:bidi="ar"/>
        </w:rPr>
        <w:t>、</w:t>
      </w:r>
      <w:r>
        <w:rPr>
          <w:rFonts w:hint="default" w:ascii="Calibri" w:hAnsi="Calibri" w:eastAsia="宋体" w:cs="Calibri"/>
          <w:i w:val="0"/>
          <w:color w:val="000000"/>
          <w:kern w:val="0"/>
          <w:sz w:val="24"/>
          <w:szCs w:val="24"/>
          <w:u w:val="none"/>
          <w:lang w:val="en-US" w:eastAsia="zh-CN" w:bidi="ar"/>
        </w:rPr>
        <w:t>Chemistry, Physical</w:t>
      </w:r>
      <w:r>
        <w:rPr>
          <w:rFonts w:hint="eastAsia" w:ascii="仿宋" w:hAnsi="仿宋" w:eastAsia="仿宋" w:cs="仿宋"/>
          <w:sz w:val="28"/>
          <w:szCs w:val="28"/>
          <w:lang w:val="en-US" w:eastAsia="zh-CN"/>
        </w:rPr>
        <w:t>和</w:t>
      </w:r>
      <w:r>
        <w:rPr>
          <w:rFonts w:hint="default" w:ascii="Calibri" w:hAnsi="Calibri" w:eastAsia="宋体" w:cs="Calibri"/>
          <w:i w:val="0"/>
          <w:color w:val="000000"/>
          <w:kern w:val="0"/>
          <w:sz w:val="24"/>
          <w:szCs w:val="24"/>
          <w:u w:val="none"/>
          <w:lang w:val="en-US" w:eastAsia="zh-CN" w:bidi="ar"/>
        </w:rPr>
        <w:t>Optics</w:t>
      </w:r>
      <w:r>
        <w:rPr>
          <w:rFonts w:hint="eastAsia" w:ascii="仿宋" w:hAnsi="仿宋" w:eastAsia="仿宋" w:cs="仿宋"/>
          <w:sz w:val="28"/>
          <w:szCs w:val="28"/>
          <w:lang w:val="en-US" w:eastAsia="zh-CN"/>
        </w:rPr>
        <w:t>学科发文较多。</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Physical</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Optics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Biochemical Research Methods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Neurosciences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0" w:name="_Toc14746"/>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Psychology,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1" w:name="_Toc21873"/>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0"/>
      <w:bookmarkEnd w:id="4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发文较多的研究方向见表9，其中</w:t>
      </w:r>
      <w:r>
        <w:rPr>
          <w:rFonts w:hint="eastAsia" w:ascii="Calibri" w:hAnsi="Calibri" w:eastAsia="宋体" w:cs="Calibri"/>
          <w:i w:val="0"/>
          <w:color w:val="000000"/>
          <w:kern w:val="0"/>
          <w:sz w:val="24"/>
          <w:szCs w:val="24"/>
          <w:u w:val="none"/>
          <w:lang w:val="en-US" w:eastAsia="zh-CN" w:bidi="ar"/>
        </w:rPr>
        <w:t>hemistry、</w:t>
      </w:r>
      <w:r>
        <w:rPr>
          <w:rFonts w:hint="default" w:ascii="Calibri" w:hAnsi="Calibri" w:eastAsia="宋体" w:cs="Calibri"/>
          <w:i w:val="0"/>
          <w:color w:val="000000"/>
          <w:kern w:val="0"/>
          <w:sz w:val="24"/>
          <w:szCs w:val="24"/>
          <w:u w:val="none"/>
          <w:lang w:val="en-US" w:eastAsia="zh-CN" w:bidi="ar"/>
        </w:rPr>
        <w:t>Biochemistry &amp; Molecular Biology</w:t>
      </w:r>
      <w:r>
        <w:rPr>
          <w:rFonts w:hint="eastAsia" w:ascii="Calibri" w:hAnsi="Calibri" w:eastAsia="宋体" w:cs="Calibri"/>
          <w:i w:val="0"/>
          <w:color w:val="000000"/>
          <w:kern w:val="0"/>
          <w:sz w:val="24"/>
          <w:szCs w:val="24"/>
          <w:u w:val="none"/>
          <w:lang w:val="en-US" w:eastAsia="zh-CN" w:bidi="ar"/>
        </w:rPr>
        <w:t>、</w:t>
      </w:r>
      <w:r>
        <w:rPr>
          <w:rFonts w:hint="default" w:ascii="Calibri" w:hAnsi="Calibri" w:eastAsia="宋体" w:cs="Calibri"/>
          <w:i w:val="0"/>
          <w:color w:val="000000"/>
          <w:kern w:val="0"/>
          <w:sz w:val="24"/>
          <w:szCs w:val="24"/>
          <w:u w:val="none"/>
          <w:lang w:val="en-US" w:eastAsia="zh-CN" w:bidi="ar"/>
        </w:rPr>
        <w:t>Optics</w:t>
      </w:r>
      <w:r>
        <w:rPr>
          <w:rFonts w:hint="eastAsia" w:ascii="Calibri" w:hAnsi="Calibri" w:eastAsia="宋体" w:cs="Calibri"/>
          <w:i w:val="0"/>
          <w:color w:val="000000"/>
          <w:kern w:val="0"/>
          <w:sz w:val="24"/>
          <w:szCs w:val="24"/>
          <w:u w:val="none"/>
          <w:lang w:val="en-US" w:eastAsia="zh-CN" w:bidi="ar"/>
        </w:rPr>
        <w:t>、</w:t>
      </w:r>
      <w:r>
        <w:rPr>
          <w:rFonts w:hint="default" w:ascii="Calibri" w:hAnsi="Calibri" w:eastAsia="宋体" w:cs="Calibri"/>
          <w:i w:val="0"/>
          <w:color w:val="000000"/>
          <w:kern w:val="0"/>
          <w:sz w:val="24"/>
          <w:szCs w:val="24"/>
          <w:u w:val="none"/>
          <w:lang w:val="en-US" w:eastAsia="zh-CN" w:bidi="ar"/>
        </w:rPr>
        <w:t>Physics</w:t>
      </w:r>
      <w:r>
        <w:rPr>
          <w:rFonts w:hint="eastAsia" w:ascii="仿宋" w:hAnsi="仿宋" w:eastAsia="仿宋" w:cs="仿宋"/>
          <w:sz w:val="28"/>
          <w:szCs w:val="28"/>
          <w:lang w:val="en-US" w:eastAsia="zh-CN"/>
        </w:rPr>
        <w:t>研究方向发文量较多。</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Optics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Neurosciences &amp; Neurology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Psychology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2" w:name="_Toc20317"/>
      <w:bookmarkStart w:id="43" w:name="_Toc32538"/>
      <w:r>
        <w:rPr>
          <w:rFonts w:hint="eastAsia" w:ascii="仿宋" w:hAnsi="仿宋" w:eastAsia="仿宋" w:cs="仿宋"/>
          <w:b/>
          <w:bCs/>
          <w:sz w:val="30"/>
          <w:szCs w:val="30"/>
          <w:lang w:val="en-US" w:eastAsia="zh-CN"/>
        </w:rPr>
        <w:t>4.文献来源分析</w:t>
      </w:r>
      <w:bookmarkEnd w:id="42"/>
      <w:bookmarkEnd w:id="4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文献来源共计40种，发文超过两篇的期刊共3种（详见表10），</w:t>
      </w:r>
      <w:r>
        <w:rPr>
          <w:rFonts w:hint="default" w:ascii="Calibri" w:hAnsi="Calibri" w:eastAsia="宋体" w:cs="Calibri"/>
          <w:i w:val="0"/>
          <w:color w:val="000000"/>
          <w:kern w:val="0"/>
          <w:sz w:val="24"/>
          <w:szCs w:val="24"/>
          <w:u w:val="none"/>
          <w:lang w:val="en-US" w:eastAsia="zh-CN" w:bidi="ar"/>
        </w:rPr>
        <w:t>REVISTA DE PSICOLOGIA DEL DEPORTE</w:t>
      </w:r>
      <w:r>
        <w:rPr>
          <w:rFonts w:hint="eastAsia" w:ascii="仿宋" w:hAnsi="仿宋" w:eastAsia="仿宋" w:cs="仿宋"/>
          <w:sz w:val="28"/>
          <w:szCs w:val="28"/>
          <w:lang w:val="en-US" w:eastAsia="zh-CN"/>
        </w:rPr>
        <w:t>为最多发文期刊。</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680"/>
        <w:gridCol w:w="3361"/>
        <w:gridCol w:w="1275"/>
        <w:gridCol w:w="1784"/>
        <w:gridCol w:w="1233"/>
      </w:tblGrid>
      <w:tr>
        <w:tblPrEx>
          <w:shd w:val="clear" w:color="auto" w:fill="auto"/>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1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3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REVISTA DE PSICOLOGIA DEL DEPORTE</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0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w:t>
            </w:r>
          </w:p>
        </w:tc>
        <w:tc>
          <w:tcPr>
            <w:tcW w:w="7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w:t>
            </w:r>
          </w:p>
        </w:tc>
      </w:tr>
      <w:tr>
        <w:tblPrEx>
          <w:shd w:val="clear" w:color="auto" w:fill="auto"/>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33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INTERNATIONAL JOURNAL OF MOLECULAR SCIENCES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07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5.923</w:t>
            </w:r>
          </w:p>
        </w:tc>
        <w:tc>
          <w:tcPr>
            <w:tcW w:w="73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Q2</w:t>
            </w:r>
          </w:p>
        </w:tc>
      </w:tr>
      <w:tr>
        <w:tblPrEx>
          <w:shd w:val="clear" w:color="auto" w:fill="auto"/>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RUSSIAN JOURNAL OF PHYSICAL CHEMISTRY A</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0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0.691</w:t>
            </w:r>
          </w:p>
        </w:tc>
        <w:tc>
          <w:tcPr>
            <w:tcW w:w="7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Q4</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44" w:name="_Toc10459"/>
      <w:bookmarkStart w:id="45" w:name="_Toc28452"/>
      <w:r>
        <w:rPr>
          <w:rFonts w:hint="eastAsia" w:ascii="仿宋" w:hAnsi="仿宋" w:eastAsia="仿宋" w:cs="仿宋"/>
          <w:b/>
          <w:bCs/>
          <w:sz w:val="30"/>
          <w:szCs w:val="30"/>
          <w:lang w:val="en-US" w:eastAsia="zh-CN"/>
        </w:rPr>
        <w:t>作者分析</w:t>
      </w:r>
      <w:bookmarkEnd w:id="44"/>
      <w:r>
        <w:rPr>
          <w:rFonts w:hint="eastAsia" w:ascii="仿宋" w:hAnsi="仿宋" w:eastAsia="仿宋" w:cs="仿宋"/>
          <w:b/>
          <w:bCs/>
          <w:sz w:val="30"/>
          <w:szCs w:val="30"/>
          <w:lang w:val="en-US" w:eastAsia="zh-CN"/>
        </w:rPr>
        <w:t>（含合作者）</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的44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我校发文作者59名，其中发文两篇以上的有6人，详见表11。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表11河北科技师范学院2021年第四季度国外期刊作者统计表 </w:t>
      </w:r>
    </w:p>
    <w:tbl>
      <w:tblPr>
        <w:tblStyle w:val="6"/>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099"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818"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506"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1832"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Peng, Fei</w:t>
            </w:r>
          </w:p>
        </w:tc>
        <w:tc>
          <w:tcPr>
            <w:tcW w:w="1364"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10</w:t>
            </w:r>
          </w:p>
        </w:tc>
        <w:tc>
          <w:tcPr>
            <w:tcW w:w="2506"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83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Xiuping</w:t>
            </w:r>
          </w:p>
        </w:tc>
        <w:tc>
          <w:tcPr>
            <w:tcW w:w="136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c>
          <w:tcPr>
            <w:tcW w:w="2506"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1832"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Cheng, Caihong</w:t>
            </w:r>
          </w:p>
        </w:tc>
        <w:tc>
          <w:tcPr>
            <w:tcW w:w="1364" w:type="dxa"/>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Hou, Wenlong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Xin</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数学与信息科技学院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Lu, Xu-lin</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Ai-jun</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1832"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Shuang</w:t>
            </w:r>
          </w:p>
        </w:tc>
        <w:tc>
          <w:tcPr>
            <w:tcW w:w="1364" w:type="dxa"/>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体育与健康学院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1832"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Zhi-wei</w:t>
            </w:r>
          </w:p>
        </w:tc>
        <w:tc>
          <w:tcPr>
            <w:tcW w:w="1364" w:type="dxa"/>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bl>
    <w:p>
      <w:pPr>
        <w:numPr>
          <w:ilvl w:val="0"/>
          <w:numId w:val="0"/>
        </w:numPr>
        <w:jc w:val="both"/>
        <w:outlineLvl w:val="1"/>
        <w:rPr>
          <w:rFonts w:hint="eastAsia" w:ascii="仿宋" w:hAnsi="仿宋" w:eastAsia="仿宋" w:cs="仿宋"/>
          <w:b/>
          <w:bCs/>
          <w:sz w:val="30"/>
          <w:szCs w:val="30"/>
          <w:lang w:val="en-US" w:eastAsia="zh-CN"/>
        </w:rPr>
      </w:pPr>
      <w:bookmarkStart w:id="46" w:name="_Toc7259"/>
      <w:bookmarkStart w:id="47" w:name="_Toc31626"/>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6.基金分析</w:t>
      </w:r>
      <w:bookmarkEnd w:id="46"/>
      <w:bookmarkEnd w:id="47"/>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综合分析2021年第四季度国外公开发表的44篇论文中，基金资助超过两篇文章的有9个，其中资助文献最多的基金是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，具体分布见表12。</w:t>
      </w: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 (NSFC))</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20</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 in China</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10</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Research Project of Hebei Province Higher Education</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General Project of Natural Science Foundation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Program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Local Science and Technology Development Fund Projects Guided by the Central Government of China</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Youth Fund Project of Hebei Provincial Department of Education in China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bookmarkStart w:id="48" w:name="_Toc6044"/>
      <w:bookmarkStart w:id="49" w:name="_Toc3968"/>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7.被引分析</w:t>
      </w:r>
      <w:bookmarkEnd w:id="48"/>
      <w:bookmarkEnd w:id="49"/>
    </w:p>
    <w:p>
      <w:pPr>
        <w:numPr>
          <w:ilvl w:val="0"/>
          <w:numId w:val="0"/>
        </w:numPr>
        <w:ind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综合分析2021年第四季度国外公开发表的44篇论文中，被引用文献有4篇，其中被引次数最多的文章是</w:t>
      </w:r>
      <w:r>
        <w:rPr>
          <w:rFonts w:hint="eastAsia" w:ascii="Calibri" w:hAnsi="Calibri" w:eastAsia="宋体" w:cs="Calibri"/>
          <w:i w:val="0"/>
          <w:color w:val="000000"/>
          <w:kern w:val="0"/>
          <w:sz w:val="24"/>
          <w:szCs w:val="24"/>
          <w:u w:val="none"/>
          <w:lang w:val="en-US" w:eastAsia="zh-CN" w:bidi="ar"/>
        </w:rPr>
        <w:t>A human neutralizing antibody targets the receptor-binding site of SARS-CoV-2</w:t>
      </w:r>
      <w:r>
        <w:rPr>
          <w:rFonts w:hint="eastAsia" w:ascii="仿宋" w:hAnsi="仿宋" w:eastAsia="仿宋" w:cs="仿宋"/>
          <w:b w:val="0"/>
          <w:bCs w:val="0"/>
          <w:sz w:val="28"/>
          <w:szCs w:val="28"/>
          <w:lang w:val="en-US" w:eastAsia="zh-CN"/>
        </w:rPr>
        <w:t>，具体分布见表13。</w:t>
      </w:r>
    </w:p>
    <w:p>
      <w:pPr>
        <w:numPr>
          <w:ilvl w:val="0"/>
          <w:numId w:val="0"/>
        </w:numPr>
        <w:jc w:val="left"/>
        <w:rPr>
          <w:rFonts w:hint="eastAsia" w:ascii="仿宋" w:hAnsi="仿宋" w:eastAsia="仿宋" w:cs="仿宋"/>
          <w:b/>
          <w:bCs/>
          <w:sz w:val="24"/>
          <w:szCs w:val="24"/>
          <w:lang w:val="en-US" w:eastAsia="zh-CN"/>
        </w:rPr>
      </w:pPr>
    </w:p>
    <w:p>
      <w:pPr>
        <w:numPr>
          <w:ilvl w:val="0"/>
          <w:numId w:val="0"/>
        </w:numPr>
        <w:jc w:val="left"/>
        <w:rPr>
          <w:rFonts w:hint="eastAsia" w:ascii="仿宋" w:hAnsi="仿宋" w:eastAsia="仿宋" w:cs="仿宋"/>
          <w:b/>
          <w:bCs/>
          <w:sz w:val="24"/>
          <w:szCs w:val="24"/>
          <w:lang w:val="en-US" w:eastAsia="zh-CN"/>
        </w:rPr>
      </w:pPr>
    </w:p>
    <w:p>
      <w:pPr>
        <w:numPr>
          <w:ilvl w:val="0"/>
          <w:numId w:val="0"/>
        </w:numPr>
        <w:jc w:val="left"/>
        <w:rPr>
          <w:rFonts w:hint="eastAsia" w:ascii="仿宋" w:hAnsi="仿宋" w:eastAsia="仿宋" w:cs="仿宋"/>
          <w:b/>
          <w:bCs/>
          <w:sz w:val="24"/>
          <w:szCs w:val="24"/>
          <w:lang w:val="en-US" w:eastAsia="zh-CN"/>
        </w:rPr>
      </w:pPr>
    </w:p>
    <w:p>
      <w:pPr>
        <w:numPr>
          <w:ilvl w:val="0"/>
          <w:numId w:val="0"/>
        </w:numPr>
        <w:jc w:val="left"/>
        <w:rPr>
          <w:rFonts w:hint="eastAsia" w:ascii="仿宋" w:hAnsi="仿宋" w:eastAsia="仿宋" w:cs="仿宋"/>
          <w:b/>
          <w:bCs/>
          <w:sz w:val="24"/>
          <w:szCs w:val="24"/>
          <w:lang w:val="en-US" w:eastAsia="zh-CN"/>
        </w:rPr>
      </w:pPr>
    </w:p>
    <w:p>
      <w:pPr>
        <w:numPr>
          <w:ilvl w:val="0"/>
          <w:numId w:val="0"/>
        </w:numPr>
        <w:jc w:val="left"/>
        <w:rPr>
          <w:rFonts w:hint="eastAsia" w:ascii="仿宋" w:hAnsi="仿宋" w:eastAsia="仿宋" w:cs="仿宋"/>
          <w:b/>
          <w:bCs/>
          <w:sz w:val="24"/>
          <w:szCs w:val="24"/>
          <w:lang w:val="en-US" w:eastAsia="zh-CN"/>
        </w:rPr>
      </w:pPr>
    </w:p>
    <w:p>
      <w:pPr>
        <w:numPr>
          <w:ilvl w:val="0"/>
          <w:numId w:val="0"/>
        </w:numPr>
        <w:jc w:val="left"/>
        <w:rPr>
          <w:rFonts w:hint="eastAsia" w:ascii="仿宋" w:hAnsi="仿宋" w:eastAsia="仿宋" w:cs="仿宋"/>
          <w:b/>
          <w:bCs/>
          <w:sz w:val="24"/>
          <w:szCs w:val="24"/>
          <w:lang w:val="en-US" w:eastAsia="zh-CN"/>
        </w:rPr>
      </w:pPr>
    </w:p>
    <w:p>
      <w:pPr>
        <w:numPr>
          <w:ilvl w:val="0"/>
          <w:numId w:val="0"/>
        </w:numPr>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An Insight into Anti-Inflammatory Activities and Inflammation Related Diseases of Anthocyanins: A Review of Both In Vivo and In Vitro Investigations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OCT</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Ma, Zilong; Du, Bin; Li, Jun; Yang, Yuedong; Zhu, Fengmei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Pectin and homogalacturonan with small molecular mass modulate microbial community and generate high SCFAs via in vitro gut fermentation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OCT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Zhao, Yuanyuan; Bi, Jinfeng; Yi, Jianyong; Wu, Xinye; Ma, Youchuan; Li, Ruiping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Formulation of nanopesticide with graphene oxide as the nanocarrier of pyrethroid pesticide and its application in spider mite control</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NOV</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Gao, Xiaoduo; Shi, Fengyu; Peng, Fei; Shi, Xuejuan; Cheng, Caihong; Hou, Wenlong; Xie, Haicui; Lin, Xiaohu; Wang, Xiuping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CSBPI_Site:Multi-Information Sources of Features to RNA Binding Sites Prediction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OCT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Zhang, Lichao; Huang, Zihong; Kong, Liang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Transcriptome-wide analysis of AP2/ERF transcription factors involved in regulating Taxol biosynthesis in Taxus x media</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NOV</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Zhang, Kaikai; Jiang, Luyuan; Wang, Xu; Han, Hua; Chen, Duanfen; Qiu, Deyou; Yang, Yanfang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The discovery and characterization of a novel chitinase with dual catalytic domains from a Qinghai-Tibetan Plateau wetland soil metagenome</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OCT</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Dai, Yumei; Yang, Feng; Liu, Xiao; Wang, Hongling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Tunable erbium-doped-fiber laser based on the Double-Superimposed Fiber Bragg Gratings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NOV</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Wang Feng; Liu Yue-kun; Bi Wei-hong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Geochemical Insights from Clinopyroxene Phenocrysts into the Magma Evolution of an Alkaline Magmatic System from the Sanshui Basin, South China</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NOV</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Chen, Peijia; Fang, Nianqiao; Yuan, Xiaobo</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Coupling feature extraction method of resting state EEG Signals from amnestic mild cognitive impairment with type 2 diabetes mellitus based on weight permutation conditional mutual information</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DEC</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Liu, Yijun; Xu, Xiaodong; Zhou, Yanhong; Xu, Jian; Dong, Xianling; Li, Xiaoli; Yin, Shimin; Wen, Dong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2"/>
                <w:szCs w:val="22"/>
                <w:u w:val="none"/>
                <w:lang w:val="en-US" w:eastAsia="zh-CN" w:bidi="ar"/>
              </w:rPr>
            </w:pPr>
            <w:r>
              <w:rPr>
                <w:rFonts w:hint="default" w:ascii="Arial" w:hAnsi="Arial" w:eastAsia="宋体" w:cs="Arial"/>
                <w:i w:val="0"/>
                <w:iCs w:val="0"/>
                <w:color w:val="000000"/>
                <w:kern w:val="0"/>
                <w:sz w:val="20"/>
                <w:szCs w:val="20"/>
                <w:u w:val="none"/>
                <w:lang w:val="en-US" w:eastAsia="zh-CN" w:bidi="ar"/>
              </w:rPr>
              <w:t>1</w:t>
            </w:r>
          </w:p>
        </w:tc>
      </w:tr>
    </w:tbl>
    <w:p>
      <w:pPr>
        <w:spacing w:line="480" w:lineRule="auto"/>
        <w:jc w:val="center"/>
        <w:rPr>
          <w:rFonts w:hint="eastAsia"/>
        </w:rPr>
      </w:pPr>
    </w:p>
    <w:p>
      <w:pPr>
        <w:jc w:val="left"/>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2166FA1"/>
    <w:rsid w:val="021C5F9F"/>
    <w:rsid w:val="02F868C8"/>
    <w:rsid w:val="03601D9E"/>
    <w:rsid w:val="038A7F2F"/>
    <w:rsid w:val="0495645F"/>
    <w:rsid w:val="06377034"/>
    <w:rsid w:val="074C2D13"/>
    <w:rsid w:val="08065CD1"/>
    <w:rsid w:val="087C5B35"/>
    <w:rsid w:val="08AE1213"/>
    <w:rsid w:val="0BF1297F"/>
    <w:rsid w:val="0C297919"/>
    <w:rsid w:val="0CEC4112"/>
    <w:rsid w:val="10634615"/>
    <w:rsid w:val="13105886"/>
    <w:rsid w:val="13136B57"/>
    <w:rsid w:val="139416D0"/>
    <w:rsid w:val="13987AF7"/>
    <w:rsid w:val="13F412D5"/>
    <w:rsid w:val="144964D4"/>
    <w:rsid w:val="157B3785"/>
    <w:rsid w:val="157F3E5B"/>
    <w:rsid w:val="158A52FB"/>
    <w:rsid w:val="17874709"/>
    <w:rsid w:val="189561A4"/>
    <w:rsid w:val="1A372FAB"/>
    <w:rsid w:val="1A5873E9"/>
    <w:rsid w:val="1AED378A"/>
    <w:rsid w:val="1B95172D"/>
    <w:rsid w:val="1C0520C8"/>
    <w:rsid w:val="1C65043A"/>
    <w:rsid w:val="1CE92B97"/>
    <w:rsid w:val="1D9751D2"/>
    <w:rsid w:val="1DAB7B4F"/>
    <w:rsid w:val="1E08278D"/>
    <w:rsid w:val="20BE6520"/>
    <w:rsid w:val="22285904"/>
    <w:rsid w:val="23491031"/>
    <w:rsid w:val="23A743D7"/>
    <w:rsid w:val="23D63EB9"/>
    <w:rsid w:val="26492636"/>
    <w:rsid w:val="28256F59"/>
    <w:rsid w:val="28B05E51"/>
    <w:rsid w:val="298E7BCC"/>
    <w:rsid w:val="299D4AAE"/>
    <w:rsid w:val="2A1E1EF9"/>
    <w:rsid w:val="2B7B6506"/>
    <w:rsid w:val="2C3D740F"/>
    <w:rsid w:val="2DFC690D"/>
    <w:rsid w:val="2F00015A"/>
    <w:rsid w:val="2F61738F"/>
    <w:rsid w:val="300D612B"/>
    <w:rsid w:val="30132E04"/>
    <w:rsid w:val="3096357E"/>
    <w:rsid w:val="322B09E0"/>
    <w:rsid w:val="33EC74B8"/>
    <w:rsid w:val="34170ECB"/>
    <w:rsid w:val="34BC0E5B"/>
    <w:rsid w:val="35294481"/>
    <w:rsid w:val="362178C9"/>
    <w:rsid w:val="38914172"/>
    <w:rsid w:val="38D14B6E"/>
    <w:rsid w:val="3B026781"/>
    <w:rsid w:val="3B5963D6"/>
    <w:rsid w:val="3C0F5F44"/>
    <w:rsid w:val="3C552056"/>
    <w:rsid w:val="3C8E6E90"/>
    <w:rsid w:val="3C8E78EF"/>
    <w:rsid w:val="3D203C2F"/>
    <w:rsid w:val="3DDC6D23"/>
    <w:rsid w:val="3E2264D4"/>
    <w:rsid w:val="3E520FD9"/>
    <w:rsid w:val="42312EBC"/>
    <w:rsid w:val="426F2679"/>
    <w:rsid w:val="44BB4992"/>
    <w:rsid w:val="44F84B54"/>
    <w:rsid w:val="45E32462"/>
    <w:rsid w:val="46325B29"/>
    <w:rsid w:val="48032514"/>
    <w:rsid w:val="4A927513"/>
    <w:rsid w:val="4B545E24"/>
    <w:rsid w:val="4CA42517"/>
    <w:rsid w:val="4DE77106"/>
    <w:rsid w:val="4EE91AF8"/>
    <w:rsid w:val="4FA01782"/>
    <w:rsid w:val="4FF16129"/>
    <w:rsid w:val="5022272A"/>
    <w:rsid w:val="505E5526"/>
    <w:rsid w:val="50D72AEB"/>
    <w:rsid w:val="532C6A4B"/>
    <w:rsid w:val="53766CBE"/>
    <w:rsid w:val="547C45F3"/>
    <w:rsid w:val="54AC57C2"/>
    <w:rsid w:val="55D213BB"/>
    <w:rsid w:val="56492C8F"/>
    <w:rsid w:val="57EC1669"/>
    <w:rsid w:val="58651D4B"/>
    <w:rsid w:val="58D73E50"/>
    <w:rsid w:val="58FB4CED"/>
    <w:rsid w:val="5AD016BC"/>
    <w:rsid w:val="5B8861B6"/>
    <w:rsid w:val="5D174C2A"/>
    <w:rsid w:val="5D7F24A9"/>
    <w:rsid w:val="5E49292E"/>
    <w:rsid w:val="60C465EE"/>
    <w:rsid w:val="632E5AE9"/>
    <w:rsid w:val="6530701F"/>
    <w:rsid w:val="66BA47AA"/>
    <w:rsid w:val="67551F07"/>
    <w:rsid w:val="67C83177"/>
    <w:rsid w:val="67FF3E86"/>
    <w:rsid w:val="691213E4"/>
    <w:rsid w:val="6AA42D73"/>
    <w:rsid w:val="6BD4493D"/>
    <w:rsid w:val="6CC469C3"/>
    <w:rsid w:val="6CFB1689"/>
    <w:rsid w:val="6E3F6C09"/>
    <w:rsid w:val="6E8647B0"/>
    <w:rsid w:val="6FBF5509"/>
    <w:rsid w:val="703C172C"/>
    <w:rsid w:val="71DD4ABF"/>
    <w:rsid w:val="72C83180"/>
    <w:rsid w:val="736A01FF"/>
    <w:rsid w:val="748557B7"/>
    <w:rsid w:val="74FC42B5"/>
    <w:rsid w:val="76992564"/>
    <w:rsid w:val="770F010E"/>
    <w:rsid w:val="773D0EE8"/>
    <w:rsid w:val="785C0FFC"/>
    <w:rsid w:val="78ED0A33"/>
    <w:rsid w:val="7948293C"/>
    <w:rsid w:val="7C6932BF"/>
    <w:rsid w:val="7CB3424D"/>
    <w:rsid w:val="7DDF3BA1"/>
    <w:rsid w:val="7DFC2D81"/>
    <w:rsid w:val="7E26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semiHidden/>
    <w:unhideWhenUsed/>
    <w:uiPriority w:val="39"/>
  </w:style>
  <w:style w:type="paragraph" w:styleId="5">
    <w:name w:val="toc 2"/>
    <w:basedOn w:val="1"/>
    <w:next w:val="1"/>
    <w:semiHidden/>
    <w:unhideWhenUsed/>
    <w:uiPriority w:val="39"/>
    <w:pPr>
      <w:ind w:left="420" w:leftChars="200"/>
    </w:pPr>
  </w:style>
  <w:style w:type="character" w:customStyle="1" w:styleId="8">
    <w:name w:val="font01"/>
    <w:basedOn w:val="7"/>
    <w:qFormat/>
    <w:uiPriority w:val="0"/>
    <w:rPr>
      <w:rFonts w:ascii="Arial" w:hAnsi="Arial" w:cs="Arial"/>
      <w:b/>
      <w:color w:val="808080"/>
      <w:sz w:val="21"/>
      <w:szCs w:val="21"/>
      <w:u w:val="none"/>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 w:type="paragraph" w:styleId="11">
    <w:name w:val="No Spacing"/>
    <w:unhideWhenUsed/>
    <w:qFormat/>
    <w:uiPriority w:val="1"/>
    <w:rPr>
      <w:rFonts w:hint="eastAsia" w:ascii="等线" w:hAnsi="等线" w:eastAsia="等线" w:cs="Times New Roman"/>
      <w:sz w:val="22"/>
      <w:szCs w:val="24"/>
      <w:lang w:val="en-US" w:eastAsia="zh-CN"/>
    </w:rPr>
  </w:style>
  <w:style w:type="paragraph" w:customStyle="1" w:styleId="12">
    <w:name w:val="分类号"/>
    <w:basedOn w:val="1"/>
    <w:qFormat/>
    <w:uiPriority w:val="0"/>
    <w:rPr>
      <w:rFonts w:ascii="仿宋_GB2312" w:hAnsi="Times New Roman" w:eastAsia="仿宋_GB2312" w:cs="Times New Roman"/>
      <w:sz w:val="28"/>
      <w:szCs w:val="28"/>
    </w:rPr>
  </w:style>
  <w:style w:type="paragraph" w:customStyle="1" w:styleId="13">
    <w:name w:val="封面日期"/>
    <w:basedOn w:val="1"/>
    <w:qFormat/>
    <w:uiPriority w:val="0"/>
    <w:pPr>
      <w:jc w:val="center"/>
    </w:pPr>
    <w:rPr>
      <w:rFonts w:ascii="黑体" w:hAnsi="Times New Roman" w:eastAsia="黑体" w:cs="Times New Roman"/>
      <w:sz w:val="32"/>
      <w:szCs w:val="32"/>
    </w:rPr>
  </w:style>
  <w:style w:type="paragraph" w:customStyle="1" w:styleId="14">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5">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6">
    <w:name w:val="研究生姓名"/>
    <w:basedOn w:val="1"/>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1&#31532;&#22235;&#23395;&#24230;&#25105;&#26657;&#21457;&#25991;&#24773;&#20917;&#32479;&#35745;\CNKI-2021&#31532;&#22235;&#23395;&#24230;&#21457;&#25991;&#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1&#31532;&#22235;&#23395;&#24230;&#25105;&#26657;&#21457;&#25991;&#24773;&#20917;&#32479;&#35745;\CNKI-2021&#31532;&#22235;&#23395;&#24230;&#21457;&#25991;&#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1&#31532;&#22235;&#23395;&#24230;&#25105;&#26657;&#21457;&#25991;&#24773;&#20917;&#32479;&#35745;\CNKI-2021&#31532;&#22235;&#23395;&#24230;&#21457;&#25991;&#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1&#31532;&#22235;&#23395;&#24230;&#25105;&#26657;&#21457;&#25991;&#24773;&#20917;&#32479;&#35745;\CNKI-2021&#31532;&#22235;&#23395;&#24230;&#21457;&#25991;&#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'[CNKI-2021第四季度发文数据.xlsx]2.主题'!$F$1</c:f>
              <c:strCache>
                <c:ptCount val="1"/>
                <c:pt idx="0">
                  <c:v>发文量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'[CNKI-2021第四季度发文数据.xlsx]2.主题'!$E$2:$E$12</c:f>
              <c:strCache>
                <c:ptCount val="11"/>
                <c:pt idx="0">
                  <c:v>河北省</c:v>
                </c:pt>
                <c:pt idx="1">
                  <c:v>乡村振兴</c:v>
                </c:pt>
                <c:pt idx="2">
                  <c:v>秦皇岛市</c:v>
                </c:pt>
                <c:pt idx="3">
                  <c:v>研究进展</c:v>
                </c:pt>
                <c:pt idx="4">
                  <c:v>新时代</c:v>
                </c:pt>
                <c:pt idx="5">
                  <c:v>风景园林</c:v>
                </c:pt>
                <c:pt idx="6">
                  <c:v>大肠杆菌</c:v>
                </c:pt>
                <c:pt idx="7">
                  <c:v>现代农业</c:v>
                </c:pt>
                <c:pt idx="8">
                  <c:v>高校网络教育</c:v>
                </c:pt>
                <c:pt idx="9">
                  <c:v>“十四五”时期</c:v>
                </c:pt>
                <c:pt idx="10">
                  <c:v>莱芜猪</c:v>
                </c:pt>
              </c:strCache>
            </c:strRef>
          </c:cat>
          <c:val>
            <c:numRef>
              <c:f>'[CNKI-2021第四季度发文数据.xlsx]2.主题'!$F$2:$F$12</c:f>
              <c:numCache>
                <c:formatCode>General</c:formatCode>
                <c:ptCount val="11"/>
                <c:pt idx="0">
                  <c:v>9</c:v>
                </c:pt>
                <c:pt idx="1">
                  <c:v>3</c:v>
                </c:pt>
                <c:pt idx="2">
                  <c:v>3</c:v>
                </c:pt>
                <c:pt idx="3">
                  <c:v>3</c:v>
                </c:pt>
                <c:pt idx="4">
                  <c:v>3</c:v>
                </c:pt>
                <c:pt idx="5">
                  <c:v>2</c:v>
                </c:pt>
                <c:pt idx="6">
                  <c:v>2</c:v>
                </c:pt>
                <c:pt idx="7">
                  <c:v>2</c:v>
                </c:pt>
                <c:pt idx="8">
                  <c:v>2</c:v>
                </c:pt>
                <c:pt idx="9">
                  <c:v>2</c:v>
                </c:pt>
                <c:pt idx="10">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'[CNKI-2021第四季度发文数据.xlsx]2.主题'!$N$1</c:f>
              <c:strCache>
                <c:ptCount val="1"/>
                <c:pt idx="0">
                  <c:v>发文量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'[CNKI-2021第四季度发文数据.xlsx]2.主题'!$M$2:$M$12</c:f>
              <c:strCache>
                <c:ptCount val="11"/>
                <c:pt idx="0">
                  <c:v>乡村振兴</c:v>
                </c:pt>
                <c:pt idx="1">
                  <c:v>河北省</c:v>
                </c:pt>
                <c:pt idx="2">
                  <c:v>大肠杆菌</c:v>
                </c:pt>
                <c:pt idx="3">
                  <c:v>NAA</c:v>
                </c:pt>
                <c:pt idx="4">
                  <c:v>从宽制度</c:v>
                </c:pt>
                <c:pt idx="5">
                  <c:v>乡村振兴战略</c:v>
                </c:pt>
                <c:pt idx="6">
                  <c:v>创新创业教育</c:v>
                </c:pt>
                <c:pt idx="7">
                  <c:v>风景园林专业</c:v>
                </c:pt>
                <c:pt idx="8">
                  <c:v>发展现状</c:v>
                </c:pt>
                <c:pt idx="9">
                  <c:v>IBA</c:v>
                </c:pt>
                <c:pt idx="10">
                  <c:v>石家庄</c:v>
                </c:pt>
              </c:strCache>
            </c:strRef>
          </c:cat>
          <c:val>
            <c:numRef>
              <c:f>'[CNKI-2021第四季度发文数据.xlsx]2.主题'!$N$2:$N$12</c:f>
              <c:numCache>
                <c:formatCode>General</c:formatCode>
                <c:ptCount val="11"/>
                <c:pt idx="0">
                  <c:v>3</c:v>
                </c:pt>
                <c:pt idx="1">
                  <c:v>3</c:v>
                </c:pt>
                <c:pt idx="2">
                  <c:v>2</c:v>
                </c:pt>
                <c:pt idx="3">
                  <c:v>2</c:v>
                </c:pt>
                <c:pt idx="4">
                  <c:v>2</c:v>
                </c:pt>
                <c:pt idx="5">
                  <c:v>2</c:v>
                </c:pt>
                <c:pt idx="6">
                  <c:v>2</c:v>
                </c:pt>
                <c:pt idx="7">
                  <c:v>2</c:v>
                </c:pt>
                <c:pt idx="8">
                  <c:v>2</c:v>
                </c:pt>
                <c:pt idx="9">
                  <c:v>2</c:v>
                </c:pt>
                <c:pt idx="1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'[CNKI-2021第四季度发文数据.xlsx]3.关键词'!$C$3:$C$36</c:f>
              <c:strCache>
                <c:ptCount val="34"/>
                <c:pt idx="0">
                  <c:v>河北省</c:v>
                </c:pt>
                <c:pt idx="1">
                  <c:v>乡村振兴</c:v>
                </c:pt>
                <c:pt idx="2">
                  <c:v>大学生</c:v>
                </c:pt>
                <c:pt idx="3">
                  <c:v>发展现状</c:v>
                </c:pt>
                <c:pt idx="4">
                  <c:v>风景园林</c:v>
                </c:pt>
                <c:pt idx="5">
                  <c:v>新时代</c:v>
                </c:pt>
                <c:pt idx="6">
                  <c:v>研究进展</c:v>
                </c:pt>
                <c:pt idx="7">
                  <c:v>产量</c:v>
                </c:pt>
                <c:pt idx="8">
                  <c:v>创意农业</c:v>
                </c:pt>
                <c:pt idx="9">
                  <c:v>大肠杆菌</c:v>
                </c:pt>
                <c:pt idx="10">
                  <c:v>杜长大</c:v>
                </c:pt>
                <c:pt idx="11">
                  <c:v>返乡创业</c:v>
                </c:pt>
                <c:pt idx="12">
                  <c:v>高校</c:v>
                </c:pt>
                <c:pt idx="13">
                  <c:v>高校图书馆</c:v>
                </c:pt>
                <c:pt idx="14">
                  <c:v>高校网络教育</c:v>
                </c:pt>
                <c:pt idx="15">
                  <c:v>黄瓜</c:v>
                </c:pt>
                <c:pt idx="16">
                  <c:v>鸡</c:v>
                </c:pt>
                <c:pt idx="17">
                  <c:v>检测方法</c:v>
                </c:pt>
                <c:pt idx="18">
                  <c:v>可持续发展</c:v>
                </c:pt>
                <c:pt idx="19">
                  <c:v>课程</c:v>
                </c:pt>
                <c:pt idx="20">
                  <c:v>课程考核</c:v>
                </c:pt>
                <c:pt idx="21">
                  <c:v>莱芜猪</c:v>
                </c:pt>
                <c:pt idx="22">
                  <c:v>模式</c:v>
                </c:pt>
                <c:pt idx="23">
                  <c:v>嫩枝</c:v>
                </c:pt>
                <c:pt idx="24">
                  <c:v>扦插</c:v>
                </c:pt>
                <c:pt idx="25">
                  <c:v>区块链技术</c:v>
                </c:pt>
                <c:pt idx="26">
                  <c:v>生根</c:v>
                </c:pt>
                <c:pt idx="27">
                  <c:v>食源性致病菌</c:v>
                </c:pt>
                <c:pt idx="28">
                  <c:v>现代农业</c:v>
                </c:pt>
                <c:pt idx="29">
                  <c:v>应用型高校</c:v>
                </c:pt>
                <c:pt idx="30">
                  <c:v>职业教育</c:v>
                </c:pt>
                <c:pt idx="31">
                  <c:v>植物生长调节剂</c:v>
                </c:pt>
                <c:pt idx="32">
                  <c:v>中草药</c:v>
                </c:pt>
                <c:pt idx="33">
                  <c:v>猪圆环病毒4型</c:v>
                </c:pt>
              </c:strCache>
            </c:strRef>
          </c:cat>
          <c:val>
            <c:numRef>
              <c:f>'[CNKI-2021第四季度发文数据.xlsx]3.关键词'!$D$3:$D$36</c:f>
              <c:numCache>
                <c:formatCode>General</c:formatCode>
                <c:ptCount val="34"/>
                <c:pt idx="0">
                  <c:v>6</c:v>
                </c:pt>
                <c:pt idx="1">
                  <c:v>6</c:v>
                </c:pt>
                <c:pt idx="2">
                  <c:v>3</c:v>
                </c:pt>
                <c:pt idx="3">
                  <c:v>3</c:v>
                </c:pt>
                <c:pt idx="4">
                  <c:v>3</c:v>
                </c:pt>
                <c:pt idx="5" c:formatCode="@">
                  <c:v>3</c:v>
                </c:pt>
                <c:pt idx="6">
                  <c:v>3</c:v>
                </c:pt>
                <c:pt idx="7">
                  <c:v>2</c:v>
                </c:pt>
                <c:pt idx="8" c:formatCode="@">
                  <c:v>2</c:v>
                </c:pt>
                <c:pt idx="9">
                  <c:v>2</c:v>
                </c:pt>
                <c:pt idx="10">
                  <c:v>2</c:v>
                </c:pt>
                <c:pt idx="11">
                  <c:v>2</c:v>
                </c:pt>
                <c:pt idx="12">
                  <c:v>2</c:v>
                </c:pt>
                <c:pt idx="13">
                  <c:v>2</c:v>
                </c:pt>
                <c:pt idx="14" c:formatCode="@">
                  <c:v>2</c:v>
                </c:pt>
                <c:pt idx="15" c:formatCode="@">
                  <c:v>2</c:v>
                </c:pt>
                <c:pt idx="16">
                  <c:v>2</c:v>
                </c:pt>
                <c:pt idx="17">
                  <c:v>2</c:v>
                </c:pt>
                <c:pt idx="18">
                  <c:v>2</c:v>
                </c:pt>
                <c:pt idx="19">
                  <c:v>2</c:v>
                </c:pt>
                <c:pt idx="20">
                  <c:v>2</c:v>
                </c:pt>
                <c:pt idx="21" c:formatCode="@">
                  <c:v>2</c:v>
                </c:pt>
                <c:pt idx="22">
                  <c:v>2</c:v>
                </c:pt>
                <c:pt idx="23">
                  <c:v>2</c:v>
                </c:pt>
                <c:pt idx="24">
                  <c:v>2</c:v>
                </c:pt>
                <c:pt idx="25">
                  <c:v>2</c:v>
                </c:pt>
                <c:pt idx="26">
                  <c:v>2</c:v>
                </c:pt>
                <c:pt idx="27" c:formatCode="@">
                  <c:v>2</c:v>
                </c:pt>
                <c:pt idx="28">
                  <c:v>2</c:v>
                </c:pt>
                <c:pt idx="29">
                  <c:v>2</c:v>
                </c:pt>
                <c:pt idx="30" c:formatCode="@">
                  <c:v>2</c:v>
                </c:pt>
                <c:pt idx="31">
                  <c:v>2</c:v>
                </c:pt>
                <c:pt idx="32">
                  <c:v>2</c:v>
                </c:pt>
                <c:pt idx="33" c:formatCode="@">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合作机构分布</a:t>
            </a:r>
          </a:p>
        </c:rich>
      </c:tx>
      <c:layout/>
      <c:overlay val="0"/>
      <c:spPr>
        <a:noFill/>
        <a:ln>
          <a:noFill/>
        </a:ln>
        <a:effectLst/>
      </c:spPr>
    </c:title>
    <c:autoTitleDeleted val="0"/>
    <c:plotArea>
      <c:layout/>
      <c:radarChart>
        <c:radarStyle val="marker"/>
        <c:varyColors val="0"/>
        <c:ser>
          <c:idx val="0"/>
          <c:order val="0"/>
          <c:spPr>
            <a:ln w="28575" cap="rnd">
              <a:solidFill>
                <a:schemeClr val="accent1"/>
              </a:solidFill>
              <a:round/>
            </a:ln>
            <a:effectLst/>
          </c:spPr>
          <c:marker>
            <c:symbol val="none"/>
          </c:marker>
          <c:dLbls>
            <c:delete val="1"/>
          </c:dLbls>
          <c:cat>
            <c:strRef>
              <c:f>'[CNKI-2021第四季度发文数据.xlsx]7.合作单位'!$E$3:$E$11</c:f>
              <c:strCache>
                <c:ptCount val="9"/>
                <c:pt idx="0">
                  <c:v>河北农业大学</c:v>
                </c:pt>
                <c:pt idx="1">
                  <c:v>河北建材职业技术学院</c:v>
                </c:pt>
                <c:pt idx="2">
                  <c:v>河北永发鸿田农机制造有限公司</c:v>
                </c:pt>
                <c:pt idx="3">
                  <c:v>山东省农业科学院畜牧兽医研究所</c:v>
                </c:pt>
                <c:pt idx="4">
                  <c:v>大连海洋大学</c:v>
                </c:pt>
                <c:pt idx="5">
                  <c:v>燕山大学</c:v>
                </c:pt>
                <c:pt idx="6">
                  <c:v>国家食品安全风险评估中心</c:v>
                </c:pt>
                <c:pt idx="7">
                  <c:v>河北省动物疫病预防控制中心</c:v>
                </c:pt>
                <c:pt idx="8">
                  <c:v>中国食品药品检定研究院</c:v>
                </c:pt>
              </c:strCache>
            </c:strRef>
          </c:cat>
          <c:val>
            <c:numRef>
              <c:f>'[CNKI-2021第四季度发文数据.xlsx]7.合作单位'!$F$3:$F$11</c:f>
              <c:numCache>
                <c:formatCode>General</c:formatCode>
                <c:ptCount val="9"/>
                <c:pt idx="0">
                  <c:v>9</c:v>
                </c:pt>
                <c:pt idx="1">
                  <c:v>4</c:v>
                </c:pt>
                <c:pt idx="2">
                  <c:v>4</c:v>
                </c:pt>
                <c:pt idx="3">
                  <c:v>3</c:v>
                </c:pt>
                <c:pt idx="4">
                  <c:v>2</c:v>
                </c:pt>
                <c:pt idx="5">
                  <c:v>2</c:v>
                </c:pt>
                <c:pt idx="6">
                  <c:v>2</c:v>
                </c:pt>
                <c:pt idx="7">
                  <c:v>2</c:v>
                </c:pt>
                <c:pt idx="8">
                  <c:v>2</c:v>
                </c:pt>
              </c:numCache>
            </c:numRef>
          </c:val>
        </c:ser>
        <c:dLbls>
          <c:showLegendKey val="0"/>
          <c:showVal val="0"/>
          <c:showCatName val="0"/>
          <c:showSerName val="0"/>
          <c:showPercent val="0"/>
          <c:showBubbleSize val="0"/>
        </c:dLbls>
        <c:axId val="336827935"/>
        <c:axId val="436792796"/>
      </c:radarChart>
      <c:catAx>
        <c:axId val="3368279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6792796"/>
        <c:crosses val="autoZero"/>
        <c:auto val="1"/>
        <c:lblAlgn val="ctr"/>
        <c:lblOffset val="100"/>
        <c:noMultiLvlLbl val="0"/>
      </c:catAx>
      <c:valAx>
        <c:axId val="4367927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6827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1</TotalTime>
  <ScaleCrop>false</ScaleCrop>
  <LinksUpToDate>false</LinksUpToDate>
  <CharactersWithSpaces>186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ym</cp:lastModifiedBy>
  <dcterms:modified xsi:type="dcterms:W3CDTF">2023-04-13T06:54:47Z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67EB0E9F885749A28F66DD34A42035C8</vt:lpwstr>
  </property>
</Properties>
</file>