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3"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ygF94AAAAOAQAADwAAAAAA&#10;AAABACAAAAAiAAAAZHJzL2Rvd25yZXYueG1sUEsBAhQAFAAAAAgAh07iQE3q+LDUAQAAigMAAA4A&#10;AAAAAAAAAQAgAAAALQ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8"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V16FJR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9" name="等腰三角形 9"/>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vGzvB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10"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1"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frfhM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AfrfhM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2021年第四季度专利统计分析报告</w:t>
                            </w:r>
                          </w:p>
                          <w:p>
                            <w:pPr>
                              <w:ind w:firstLine="1681" w:firstLineChars="6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Qnjrt0AAAAMAQAADwAAAAAAAAABACAAAAAiAAAAZHJzL2Rvd25y&#10;ZXYueG1sUEsBAhQAFAAAAAgAh07iQK0z9br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2021年第四季度专利统计分析报告</w:t>
                      </w:r>
                    </w:p>
                    <w:p>
                      <w:pPr>
                        <w:ind w:firstLine="1681" w:firstLineChars="6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883025"/>
                <wp:effectExtent l="0" t="0" r="0" b="3175"/>
                <wp:wrapNone/>
                <wp:docPr id="14" name="箭头: 左 10"/>
                <wp:cNvGraphicFramePr/>
                <a:graphic xmlns:a="http://schemas.openxmlformats.org/drawingml/2006/main">
                  <a:graphicData uri="http://schemas.microsoft.com/office/word/2010/wordprocessingShape">
                    <wps:wsp>
                      <wps:cNvSpPr/>
                      <wps:spPr>
                        <a:xfrm flipH="1">
                          <a:off x="0" y="0"/>
                          <a:ext cx="7848600" cy="3883025"/>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305.75pt;width:618pt;mso-position-horizontal-relative:page;mso-position-vertical-relative:page;z-index:-251656192;v-text-anchor:middle;mso-width-relative:page;mso-height-relative:page;" fillcolor="#DEEBF7" filled="t" stroked="f" coordsize="21600,21600" o:gfxdata="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LZBq2wAAAA0BAAAPAAAAAAAAAAEAIAAAACIAAABkcnMvZG93bnJldi54bWxQSwECFAAUAAAA&#10;CACHTuJAGTevFSQCAAAyBAAADgAAAAAAAAABACAAAAAqAQAAZHJzL2Uyb0RvYy54bWxQSwUGAAAA&#10;AAYABgBZAQAAwAUAAAAA&#10;" adj="5738,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5"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8"/>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DDzg+vUBAADYAwAADgAAAAAAAAABACAAAAAmAQAAZHJzL2Uyb0RvYy54bWxQ&#10;SwUGAAAAAAYABgBZAQAAjQUAAAAA&#10;">
                <v:fill on="t" focussize="0,0"/>
                <v:stroke on="f" weight="0.5pt"/>
                <v:imagedata o:title=""/>
                <o:lock v:ext="edit" aspectratio="f"/>
                <v:textbox inset="0mm,0mm,0mm,0mm">
                  <w:txbxContent>
                    <w:p>
                      <w:pPr>
                        <w:pStyle w:val="8"/>
                        <w:spacing w:before="40" w:after="560" w:line="216" w:lineRule="auto"/>
                        <w:rPr>
                          <w:rFonts w:hint="eastAsia" w:ascii="微软雅黑" w:hAnsi="微软雅黑" w:eastAsia="微软雅黑"/>
                          <w:color w:val="000000"/>
                          <w:sz w:val="48"/>
                          <w:szCs w:val="24"/>
                        </w:rPr>
                      </w:pPr>
                    </w:p>
                  </w:txbxContent>
                </v:textbox>
              </v:shape>
            </w:pict>
          </mc:Fallback>
        </mc:AlternateContent>
      </w:r>
    </w:p>
    <w:p>
      <w:pPr>
        <w:ind w:firstLine="2088" w:firstLineChars="400"/>
        <w:jc w:val="both"/>
        <w:rPr>
          <w:rFonts w:hint="eastAsia" w:ascii="黑体" w:hAnsi="黑体" w:eastAsia="黑体" w:cs="黑体"/>
          <w:b/>
          <w:bCs/>
          <w:sz w:val="52"/>
          <w:szCs w:val="52"/>
          <w:lang w:val="en-US" w:eastAsia="zh-CN"/>
        </w:rPr>
      </w:pPr>
    </w:p>
    <w:p>
      <w:pPr>
        <w:jc w:val="both"/>
        <w:rPr>
          <w:rFonts w:hint="eastAsia" w:ascii="黑体" w:hAnsi="黑体" w:eastAsia="黑体" w:cs="黑体"/>
          <w:sz w:val="28"/>
          <w:szCs w:val="28"/>
        </w:rPr>
      </w:pPr>
    </w:p>
    <w:p>
      <w:pPr>
        <w:jc w:val="center"/>
        <w:rPr>
          <w:rFonts w:hint="eastAsia" w:ascii="黑体" w:hAnsi="黑体" w:eastAsia="黑体" w:cs="黑体"/>
          <w:b/>
          <w:bCs/>
          <w:sz w:val="52"/>
          <w:szCs w:val="52"/>
          <w:lang w:val="en-US" w:eastAsia="zh-CN"/>
        </w:rPr>
      </w:pPr>
    </w:p>
    <w:p>
      <w:pPr>
        <w:jc w:val="center"/>
        <w:rPr>
          <w:rFonts w:hint="eastAsia" w:ascii="黑体" w:hAnsi="黑体" w:eastAsia="黑体" w:cs="黑体"/>
          <w:b/>
          <w:bCs/>
          <w:sz w:val="52"/>
          <w:szCs w:val="52"/>
          <w:lang w:val="en-US" w:eastAsia="zh-CN"/>
        </w:rPr>
      </w:pPr>
    </w:p>
    <w:p>
      <w:pPr>
        <w:jc w:val="both"/>
        <w:rPr>
          <w:rFonts w:hint="eastAsia" w:ascii="黑体" w:hAnsi="黑体" w:eastAsia="黑体" w:cs="黑体"/>
          <w:b/>
          <w:bCs/>
          <w:sz w:val="52"/>
          <w:szCs w:val="52"/>
          <w:lang w:val="en-US" w:eastAsia="zh-CN"/>
        </w:rPr>
      </w:pPr>
    </w:p>
    <w:p>
      <w:pPr>
        <w:jc w:val="both"/>
        <w:rPr>
          <w:rFonts w:hint="eastAsia" w:ascii="黑体" w:hAnsi="黑体" w:eastAsia="黑体" w:cs="黑体"/>
          <w:b/>
          <w:bCs/>
          <w:sz w:val="52"/>
          <w:szCs w:val="52"/>
          <w:lang w:val="en-US" w:eastAsia="zh-CN"/>
        </w:rPr>
      </w:pPr>
    </w:p>
    <w:p>
      <w:pPr>
        <w:jc w:val="center"/>
        <w:rPr>
          <w:rFonts w:hint="eastAsia" w:ascii="楷体_GB2312" w:eastAsia="楷体_GB2312"/>
          <w:b/>
          <w:sz w:val="36"/>
          <w:szCs w:val="36"/>
          <w:lang w:val="en-US" w:eastAsia="zh-CN"/>
        </w:rPr>
      </w:pPr>
    </w:p>
    <w:p/>
    <w:p/>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20</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25</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0" w:name="_Toc9203"/>
      <w:bookmarkStart w:id="1" w:name="_Toc20858"/>
      <w:bookmarkStart w:id="2" w:name="_Toc5625"/>
      <w:bookmarkStart w:id="3" w:name="_Toc31217"/>
      <w:bookmarkStart w:id="4" w:name="_Toc9874"/>
      <w:r>
        <w:rPr>
          <w:rFonts w:hint="eastAsia"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5" w:name="_Toc3908"/>
      <w:bookmarkStart w:id="6" w:name="_Toc29516"/>
      <w:bookmarkStart w:id="7" w:name="_Toc17869"/>
      <w:bookmarkStart w:id="8" w:name="_Toc25482"/>
      <w:bookmarkStart w:id="9" w:name="_Toc11709"/>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5"/>
      <w:bookmarkEnd w:id="6"/>
      <w:bookmarkEnd w:id="7"/>
      <w:bookmarkEnd w:id="8"/>
      <w:bookmarkEnd w:id="9"/>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10" w:name="_Toc2529"/>
      <w:bookmarkStart w:id="11" w:name="_Toc6044"/>
      <w:bookmarkStart w:id="12" w:name="_Toc5698"/>
      <w:bookmarkStart w:id="13" w:name="_Toc10280"/>
      <w:bookmarkStart w:id="14" w:name="_Toc27907"/>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10"/>
      <w:bookmarkEnd w:id="11"/>
      <w:bookmarkEnd w:id="12"/>
      <w:bookmarkEnd w:id="13"/>
      <w:bookmarkEnd w:id="14"/>
    </w:p>
    <w:p>
      <w:pPr>
        <w:spacing w:line="480" w:lineRule="auto"/>
        <w:jc w:val="left"/>
        <w:outlineLvl w:val="0"/>
        <w:rPr>
          <w:rFonts w:hint="eastAsia" w:ascii="仿宋" w:hAnsi="仿宋" w:eastAsia="仿宋" w:cs="仿宋"/>
          <w:sz w:val="28"/>
          <w:szCs w:val="28"/>
        </w:rPr>
      </w:pPr>
    </w:p>
    <w:p>
      <w:pPr>
        <w:spacing w:line="480" w:lineRule="auto"/>
        <w:jc w:val="left"/>
        <w:outlineLvl w:val="0"/>
        <w:rPr>
          <w:rFonts w:hint="eastAsia" w:ascii="仿宋" w:hAnsi="仿宋" w:eastAsia="仿宋" w:cs="仿宋"/>
          <w:sz w:val="28"/>
          <w:szCs w:val="28"/>
        </w:rPr>
      </w:pPr>
    </w:p>
    <w:p>
      <w:pPr>
        <w:spacing w:line="480" w:lineRule="auto"/>
        <w:jc w:val="left"/>
        <w:outlineLvl w:val="0"/>
        <w:rPr>
          <w:rFonts w:hint="eastAsia" w:ascii="仿宋" w:hAnsi="仿宋" w:eastAsia="仿宋" w:cs="仿宋"/>
          <w:sz w:val="28"/>
          <w:szCs w:val="28"/>
        </w:rPr>
      </w:pPr>
    </w:p>
    <w:p>
      <w:pPr>
        <w:spacing w:line="480" w:lineRule="auto"/>
        <w:jc w:val="left"/>
        <w:outlineLvl w:val="0"/>
        <w:rPr>
          <w:rFonts w:hint="eastAsia" w:ascii="仿宋" w:hAnsi="仿宋" w:eastAsia="仿宋" w:cs="仿宋"/>
          <w:sz w:val="28"/>
          <w:szCs w:val="28"/>
        </w:rPr>
      </w:pPr>
    </w:p>
    <w:p>
      <w:pPr>
        <w:spacing w:line="480" w:lineRule="auto"/>
        <w:jc w:val="left"/>
        <w:outlineLvl w:val="0"/>
        <w:rPr>
          <w:rFonts w:hint="eastAsia" w:ascii="仿宋" w:hAnsi="仿宋" w:eastAsia="仿宋" w:cs="仿宋"/>
          <w:sz w:val="28"/>
          <w:szCs w:val="28"/>
        </w:rPr>
      </w:pP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          </w:t>
      </w:r>
    </w:p>
    <w:p>
      <w:pPr>
        <w:ind w:firstLine="2088" w:firstLineChars="400"/>
        <w:jc w:val="both"/>
        <w:rPr>
          <w:rFonts w:hint="eastAsia" w:ascii="黑体" w:hAnsi="黑体" w:eastAsia="黑体" w:cs="黑体"/>
          <w:b/>
          <w:bCs/>
          <w:sz w:val="52"/>
          <w:szCs w:val="5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b/>
          <w:bCs/>
          <w:kern w:val="2"/>
          <w:sz w:val="44"/>
          <w:szCs w:val="44"/>
          <w:lang w:val="en-US" w:eastAsia="zh-CN" w:bidi="ar-SA"/>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pPr>
            <w:pStyle w:val="6"/>
            <w:tabs>
              <w:tab w:val="right" w:leader="dot" w:pos="8306"/>
            </w:tabs>
            <w:rPr>
              <w:b/>
            </w:rPr>
          </w:pPr>
          <w:r>
            <w:fldChar w:fldCharType="begin"/>
          </w:r>
          <w:r>
            <w:instrText xml:space="preserve">TOC \o "1-2" \h \u </w:instrText>
          </w:r>
          <w:r>
            <w:fldChar w:fldCharType="separate"/>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_Toc9885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1.专利数量分析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_Toc9885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2.专利类别分析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_Toc12539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3.学科分析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_Toc12539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_Toc18240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4.主题词分析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_Toc18240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_Toc9952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5.发明人分析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_Toc9952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_Toc6690 </w:instrText>
          </w:r>
          <w:r>
            <w:rPr>
              <w:rFonts w:hint="eastAsia" w:ascii="宋体" w:hAnsi="宋体" w:eastAsia="宋体" w:cs="宋体"/>
              <w:b w:val="0"/>
              <w:bCs/>
              <w:sz w:val="24"/>
              <w:szCs w:val="24"/>
            </w:rPr>
            <w:fldChar w:fldCharType="separate"/>
          </w:r>
          <w:r>
            <w:rPr>
              <w:rFonts w:hint="eastAsia" w:ascii="宋体" w:hAnsi="宋体" w:eastAsia="宋体" w:cs="宋体"/>
              <w:b w:val="0"/>
              <w:bCs/>
              <w:kern w:val="2"/>
              <w:sz w:val="24"/>
              <w:szCs w:val="24"/>
              <w:lang w:val="en-US" w:eastAsia="zh-CN" w:bidi="ar-SA"/>
            </w:rPr>
            <w:t>6.技术领域与产业构成分析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_Toc6690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_Toc23978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7.申请机构分析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_Toc23978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8.代理机构分析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spacing w:line="480" w:lineRule="auto"/>
            <w:rPr>
              <w:b/>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_Toc17108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9.综合分析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_Toc17108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6"/>
            <w:tabs>
              <w:tab w:val="right" w:leader="dot" w:pos="8306"/>
            </w:tabs>
            <w:rPr>
              <w:b/>
            </w:rPr>
          </w:pPr>
        </w:p>
        <w:p>
          <w:r>
            <w:rPr>
              <w:b/>
            </w:rPr>
            <w:fldChar w:fldCharType="end"/>
          </w:r>
        </w:p>
      </w:sdtContent>
    </w:sdt>
    <w:p>
      <w:pPr>
        <w:jc w:val="center"/>
        <w:outlineLvl w:val="0"/>
        <w:rPr>
          <w:rFonts w:hint="eastAsia" w:ascii="黑体" w:hAnsi="黑体" w:eastAsia="黑体" w:cs="黑体"/>
          <w:b/>
          <w:bCs/>
          <w:sz w:val="44"/>
          <w:szCs w:val="44"/>
          <w:lang w:val="en-US" w:eastAsia="zh-CN"/>
        </w:rPr>
      </w:pPr>
      <w:bookmarkStart w:id="15" w:name="_Toc32336"/>
      <w:bookmarkStart w:id="16" w:name="_Toc10728"/>
      <w:bookmarkStart w:id="17" w:name="_Toc30326"/>
      <w:bookmarkStart w:id="18" w:name="_Toc23538"/>
      <w:bookmarkStart w:id="19" w:name="_Toc10867"/>
      <w:bookmarkStart w:id="20" w:name="_Toc10613"/>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both"/>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河北科技师范学院</w:t>
      </w:r>
      <w:bookmarkEnd w:id="15"/>
      <w:bookmarkEnd w:id="16"/>
      <w:bookmarkEnd w:id="17"/>
      <w:bookmarkEnd w:id="18"/>
      <w:bookmarkEnd w:id="19"/>
      <w:bookmarkEnd w:id="20"/>
    </w:p>
    <w:p>
      <w:pPr>
        <w:jc w:val="center"/>
        <w:outlineLvl w:val="0"/>
        <w:rPr>
          <w:rFonts w:hint="eastAsia" w:ascii="黑体" w:hAnsi="黑体" w:eastAsia="黑体" w:cs="黑体"/>
          <w:b/>
          <w:bCs/>
          <w:sz w:val="44"/>
          <w:szCs w:val="44"/>
          <w:lang w:val="en-US" w:eastAsia="zh-CN"/>
        </w:rPr>
      </w:pPr>
      <w:bookmarkStart w:id="21" w:name="_Toc18557"/>
      <w:bookmarkStart w:id="22" w:name="_Toc8609"/>
      <w:bookmarkStart w:id="23" w:name="_Toc23894"/>
      <w:bookmarkStart w:id="24" w:name="_Toc29920"/>
      <w:bookmarkStart w:id="25" w:name="_Toc9198"/>
      <w:bookmarkStart w:id="26" w:name="_Toc23731"/>
      <w:r>
        <w:rPr>
          <w:rFonts w:hint="eastAsia" w:ascii="黑体" w:hAnsi="黑体" w:eastAsia="黑体" w:cs="黑体"/>
          <w:b/>
          <w:bCs/>
          <w:sz w:val="44"/>
          <w:szCs w:val="44"/>
          <w:lang w:val="en-US" w:eastAsia="zh-CN"/>
        </w:rPr>
        <w:t>2021年第四季度专利情况统计分析报告</w:t>
      </w:r>
      <w:bookmarkEnd w:id="21"/>
      <w:bookmarkEnd w:id="22"/>
      <w:bookmarkEnd w:id="23"/>
      <w:bookmarkEnd w:id="24"/>
      <w:bookmarkEnd w:id="25"/>
      <w:bookmarkEnd w:id="26"/>
    </w:p>
    <w:p>
      <w:pPr>
        <w:numPr>
          <w:ilvl w:val="0"/>
          <w:numId w:val="0"/>
        </w:numPr>
        <w:jc w:val="both"/>
        <w:outlineLvl w:val="9"/>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7" w:name="_Toc9885"/>
      <w:r>
        <w:rPr>
          <w:rFonts w:hint="eastAsia" w:ascii="黑体" w:hAnsi="黑体" w:eastAsia="黑体" w:cs="黑体"/>
          <w:b/>
          <w:bCs/>
          <w:sz w:val="32"/>
          <w:szCs w:val="32"/>
          <w:lang w:val="en-US" w:eastAsia="zh-CN"/>
        </w:rPr>
        <w:t>1.专利数量分析</w:t>
      </w:r>
      <w:bookmarkEnd w:id="27"/>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21年第四季度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为申请人的专利公布公告44件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具体分布情况见表1。2021年第四季度，我校申请专利总体趋于平稳，2021年11月申请专利数量较多，总体趋势见图1。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w:t>
      </w:r>
      <w:r>
        <w:rPr>
          <w:rFonts w:hint="eastAsia" w:ascii="仿宋" w:hAnsi="仿宋" w:eastAsia="仿宋" w:cs="仿宋"/>
          <w:b/>
          <w:bCs/>
          <w:color w:val="000000"/>
          <w:kern w:val="0"/>
          <w:sz w:val="24"/>
          <w:szCs w:val="24"/>
          <w:lang w:bidi="ar"/>
        </w:rPr>
        <w:t>情况统计表</w:t>
      </w:r>
    </w:p>
    <w:tbl>
      <w:tblPr>
        <w:tblStyle w:val="4"/>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2021年10月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2021年12月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pPr>
      <w:r>
        <w:drawing>
          <wp:inline distT="0" distB="0" distL="114300" distR="114300">
            <wp:extent cx="4572000" cy="2743200"/>
            <wp:effectExtent l="4445" t="4445" r="1460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outlineLvl w:val="0"/>
        <w:rPr>
          <w:rFonts w:hint="default" w:ascii="黑体" w:hAnsi="黑体" w:eastAsia="黑体" w:cs="黑体"/>
          <w:b/>
          <w:bCs/>
          <w:sz w:val="32"/>
          <w:szCs w:val="32"/>
          <w:lang w:val="en-US" w:eastAsia="zh-CN"/>
        </w:rPr>
      </w:pPr>
      <w:bookmarkStart w:id="28" w:name="_Toc6255"/>
      <w:r>
        <w:rPr>
          <w:rFonts w:hint="eastAsia" w:ascii="黑体" w:hAnsi="黑体" w:eastAsia="黑体" w:cs="黑体"/>
          <w:b/>
          <w:bCs/>
          <w:sz w:val="32"/>
          <w:szCs w:val="32"/>
          <w:lang w:val="en-US" w:eastAsia="zh-CN"/>
        </w:rPr>
        <w:t>2.专利类别分析</w:t>
      </w:r>
      <w:bookmarkEnd w:id="2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综合分析2021年第四季度我校公布公告的专利类别，实用新型专利12件，发明公开专利25件，发明授权专利7件，具体情况参见图2。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jc w:val="both"/>
        <w:outlineLvl w:val="0"/>
        <w:rPr>
          <w:rFonts w:hint="default" w:ascii="黑体" w:hAnsi="黑体" w:eastAsia="黑体" w:cs="黑体"/>
          <w:b/>
          <w:bCs/>
          <w:sz w:val="32"/>
          <w:szCs w:val="32"/>
          <w:lang w:val="en-US" w:eastAsia="zh-CN"/>
        </w:rPr>
      </w:pPr>
      <w:bookmarkStart w:id="29" w:name="_Toc12539"/>
      <w:r>
        <w:rPr>
          <w:rFonts w:hint="eastAsia" w:ascii="黑体" w:hAnsi="黑体" w:eastAsia="黑体" w:cs="黑体"/>
          <w:b/>
          <w:bCs/>
          <w:sz w:val="32"/>
          <w:szCs w:val="32"/>
          <w:lang w:val="en-US" w:eastAsia="zh-CN"/>
        </w:rPr>
        <w:t>3.学科分析</w:t>
      </w:r>
      <w:bookmarkEnd w:id="2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综合分析2021年第四季度我校公布公告的专利学科关系，占比较多的学科有：轻工业手工业13件，园艺、金属学及金属工艺、建筑科学与工程、农艺学各3件，具体详情参见图3。</w:t>
      </w:r>
    </w:p>
    <w:p>
      <w:pPr>
        <w:numPr>
          <w:ilvl w:val="0"/>
          <w:numId w:val="0"/>
        </w:numPr>
        <w:jc w:val="both"/>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2021年第四季度专利学科分布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pPr>
      <w:bookmarkStart w:id="30" w:name="_Toc18240"/>
      <w:r>
        <w:drawing>
          <wp:inline distT="0" distB="0" distL="114300" distR="114300">
            <wp:extent cx="4572000" cy="3790315"/>
            <wp:effectExtent l="4445" t="4445" r="14605" b="15240"/>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center"/>
        <w:rPr>
          <w:rFonts w:hint="eastAsia"/>
          <w:lang w:val="en-US" w:eastAsia="zh-CN"/>
        </w:rPr>
      </w:pP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3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四季度我校公布公告的专利主题词，主要主题词中制备方法、施工方法、多线切割机等主题词出现频率较高。次要主题词中固定连接、玉米自交系统等主题词出现频率较高。下图列举频次较高的主要主题词和次要主题词，具体分布参见图4和图5。</w:t>
      </w: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2021年第四季度主要主题词分布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p>
    <w:p>
      <w:pPr>
        <w:numPr>
          <w:ilvl w:val="0"/>
          <w:numId w:val="0"/>
        </w:numPr>
        <w:spacing w:line="360" w:lineRule="auto"/>
        <w:jc w:val="center"/>
        <w:rPr>
          <w:rFonts w:hint="eastAsia" w:ascii="仿宋" w:hAnsi="仿宋" w:eastAsia="仿宋" w:cs="仿宋"/>
          <w:b/>
          <w:bCs/>
          <w:sz w:val="24"/>
          <w:szCs w:val="24"/>
          <w:lang w:val="en-US" w:eastAsia="zh-CN"/>
        </w:rPr>
      </w:pPr>
      <w:r>
        <w:drawing>
          <wp:inline distT="0" distB="0" distL="114300" distR="114300">
            <wp:extent cx="4572000" cy="2743200"/>
            <wp:effectExtent l="4445" t="4445" r="14605" b="14605"/>
            <wp:docPr id="1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2021年第四季度次要主题词分布</w:t>
      </w:r>
    </w:p>
    <w:p>
      <w:pPr>
        <w:numPr>
          <w:ilvl w:val="0"/>
          <w:numId w:val="0"/>
        </w:numPr>
        <w:jc w:val="both"/>
        <w:rPr>
          <w:rFonts w:hint="eastAsia"/>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黑体" w:hAnsi="黑体" w:eastAsia="黑体" w:cs="黑体"/>
          <w:b/>
          <w:bCs/>
          <w:sz w:val="32"/>
          <w:szCs w:val="32"/>
          <w:lang w:val="en-US" w:eastAsia="zh-CN"/>
        </w:rPr>
      </w:pPr>
      <w:r>
        <w:drawing>
          <wp:inline distT="0" distB="0" distL="114300" distR="114300">
            <wp:extent cx="4572000" cy="2743200"/>
            <wp:effectExtent l="4445" t="4445" r="14605" b="14605"/>
            <wp:docPr id="2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31" w:name="_Toc9952"/>
      <w:r>
        <w:rPr>
          <w:rFonts w:hint="eastAsia" w:ascii="黑体" w:hAnsi="黑体" w:eastAsia="黑体" w:cs="黑体"/>
          <w:b/>
          <w:bCs/>
          <w:sz w:val="32"/>
          <w:szCs w:val="32"/>
          <w:lang w:val="en-US" w:eastAsia="zh-CN"/>
        </w:rPr>
        <w:t>5.发明人分析</w:t>
      </w:r>
      <w:bookmarkEnd w:id="31"/>
      <w:r>
        <w:rPr>
          <w:rFonts w:hint="eastAsia" w:ascii="黑体" w:hAnsi="黑体" w:eastAsia="黑体" w:cs="黑体"/>
          <w:b w:val="0"/>
          <w:bCs w:val="0"/>
          <w:sz w:val="32"/>
          <w:szCs w:val="32"/>
          <w:lang w:val="en-US" w:eastAsia="zh-CN"/>
        </w:rPr>
        <w:t>（含合作者）</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135</w:t>
      </w:r>
      <w:r>
        <w:rPr>
          <w:rFonts w:hint="default" w:ascii="仿宋" w:hAnsi="仿宋" w:eastAsia="仿宋" w:cs="仿宋"/>
          <w:sz w:val="28"/>
          <w:szCs w:val="28"/>
          <w:lang w:val="en-US" w:eastAsia="zh-CN"/>
        </w:rPr>
        <w:t>人，参与</w:t>
      </w:r>
      <w:r>
        <w:rPr>
          <w:rFonts w:hint="eastAsia" w:ascii="仿宋" w:hAnsi="仿宋" w:eastAsia="仿宋" w:cs="仿宋"/>
          <w:sz w:val="28"/>
          <w:szCs w:val="28"/>
          <w:lang w:val="en-US" w:eastAsia="zh-CN"/>
        </w:rPr>
        <w:t>两</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28</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2021年第四季度专利发明人统</w:t>
      </w:r>
      <w:r>
        <w:rPr>
          <w:rFonts w:hint="eastAsia" w:ascii="仿宋" w:hAnsi="仿宋" w:eastAsia="仿宋" w:cs="仿宋"/>
          <w:b/>
          <w:bCs/>
          <w:color w:val="000000"/>
          <w:kern w:val="0"/>
          <w:sz w:val="24"/>
          <w:szCs w:val="24"/>
          <w:lang w:bidi="ar"/>
        </w:rPr>
        <w:t>计表</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482" w:firstLineChars="200"/>
        <w:jc w:val="center"/>
        <w:rPr>
          <w:rFonts w:hint="eastAsia" w:ascii="仿宋" w:hAnsi="仿宋" w:eastAsia="仿宋" w:cs="仿宋"/>
          <w:b/>
          <w:bCs/>
          <w:color w:val="000000"/>
          <w:kern w:val="0"/>
          <w:sz w:val="24"/>
          <w:szCs w:val="24"/>
          <w:lang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1069"/>
        <w:gridCol w:w="1636"/>
        <w:gridCol w:w="1395"/>
        <w:gridCol w:w="1199"/>
        <w:gridCol w:w="1642"/>
        <w:gridCol w:w="1392"/>
      </w:tblGrid>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史振声</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曹佳安</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孙淑凤</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李树珍</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闫丽颖</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王健</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杨敏</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杜培培</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张喜华</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冯利臻</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张志强</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郭玉彬</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周诗淼</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韩金玲</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曹盼盼</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解海翠</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纪胜军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李国昉</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贾国清</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刘腾</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26</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李军</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任晓光</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刘畅</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石磊</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28</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刘建珍</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9"/>
        <w:rPr>
          <w:rFonts w:hint="eastAsia" w:ascii="黑体" w:hAnsi="黑体" w:eastAsia="黑体" w:cs="黑体"/>
          <w:b/>
          <w:bCs/>
          <w:sz w:val="32"/>
          <w:szCs w:val="32"/>
          <w:lang w:val="en-US" w:eastAsia="zh-CN"/>
        </w:rPr>
      </w:pPr>
    </w:p>
    <w:p>
      <w:pPr>
        <w:pStyle w:val="7"/>
        <w:numPr>
          <w:ilvl w:val="0"/>
          <w:numId w:val="0"/>
        </w:numPr>
        <w:spacing w:before="156" w:beforeLines="50" w:after="156" w:afterLines="50" w:line="432" w:lineRule="auto"/>
        <w:ind w:firstLine="0"/>
        <w:outlineLvl w:val="0"/>
        <w:rPr>
          <w:rFonts w:hint="default" w:ascii="黑体" w:hAnsi="黑体" w:eastAsia="黑体" w:cs="黑体"/>
          <w:b/>
          <w:bCs/>
          <w:kern w:val="2"/>
          <w:sz w:val="32"/>
          <w:szCs w:val="32"/>
          <w:lang w:val="en-US" w:eastAsia="zh-CN" w:bidi="ar-SA"/>
        </w:rPr>
      </w:pPr>
      <w:bookmarkStart w:id="32" w:name="_Toc16727"/>
      <w:bookmarkStart w:id="33" w:name="_Toc20469"/>
      <w:bookmarkStart w:id="34" w:name="_Toc6690"/>
      <w:r>
        <w:rPr>
          <w:rFonts w:hint="eastAsia" w:ascii="黑体" w:hAnsi="黑体" w:eastAsia="黑体" w:cs="黑体"/>
          <w:b/>
          <w:bCs/>
          <w:kern w:val="2"/>
          <w:sz w:val="32"/>
          <w:szCs w:val="32"/>
          <w:lang w:val="en-US" w:eastAsia="zh-CN" w:bidi="ar-SA"/>
        </w:rPr>
        <w:t>6.技术领域与产业构成</w:t>
      </w:r>
      <w:bookmarkEnd w:id="32"/>
      <w:bookmarkEnd w:id="33"/>
      <w:r>
        <w:rPr>
          <w:rFonts w:hint="eastAsia" w:ascii="黑体" w:hAnsi="黑体" w:eastAsia="黑体" w:cs="黑体"/>
          <w:b/>
          <w:bCs/>
          <w:kern w:val="2"/>
          <w:sz w:val="32"/>
          <w:szCs w:val="32"/>
          <w:lang w:val="en-US" w:eastAsia="zh-CN" w:bidi="ar-SA"/>
        </w:rPr>
        <w:t>分析</w:t>
      </w:r>
      <w:bookmarkEnd w:id="34"/>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olor w:val="333333"/>
          <w:sz w:val="28"/>
          <w:szCs w:val="24"/>
          <w:shd w:val="clear" w:color="auto" w:fill="FFFFFF"/>
          <w:lang w:val="en-US" w:eastAsia="zh-CN"/>
        </w:rPr>
      </w:pPr>
      <w:r>
        <w:rPr>
          <w:rFonts w:hint="eastAsia" w:ascii="仿宋" w:hAnsi="仿宋" w:eastAsia="仿宋" w:cs="仿宋"/>
          <w:sz w:val="28"/>
          <w:szCs w:val="28"/>
          <w:lang w:val="en-US" w:eastAsia="zh-CN"/>
        </w:rPr>
        <w:t>综合分析2021年第四季度我校公布公告的专利，其</w:t>
      </w:r>
      <w:r>
        <w:rPr>
          <w:rFonts w:hint="eastAsia" w:ascii="仿宋" w:hAnsi="仿宋" w:eastAsia="仿宋"/>
          <w:color w:val="000000"/>
          <w:sz w:val="28"/>
          <w:szCs w:val="24"/>
        </w:rPr>
        <w:t>主要集中在IPC分类中的下面几个大类：</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0</w:t>
      </w:r>
      <w:r>
        <w:rPr>
          <w:rFonts w:hint="eastAsia" w:ascii="仿宋" w:hAnsi="仿宋" w:eastAsia="仿宋"/>
          <w:color w:val="333333"/>
          <w:sz w:val="28"/>
          <w:szCs w:val="24"/>
          <w:shd w:val="clear" w:color="auto" w:fill="FFFFFF"/>
        </w:rPr>
        <w:t>1（农业；林业；畜牧业；狩猎；诱捕；捕鱼）、</w:t>
      </w:r>
      <w:r>
        <w:rPr>
          <w:rFonts w:hint="eastAsia" w:ascii="仿宋" w:hAnsi="仿宋" w:eastAsia="仿宋"/>
          <w:color w:val="333333"/>
          <w:sz w:val="28"/>
          <w:szCs w:val="24"/>
          <w:shd w:val="clear" w:color="auto" w:fill="FFFFFF"/>
          <w:lang w:val="en-US" w:eastAsia="zh-CN"/>
        </w:rPr>
        <w:t>A63（运动；游戏；娱乐活动）、B28（加工水泥、黏土或石料）、C12</w:t>
      </w:r>
      <w:r>
        <w:rPr>
          <w:rFonts w:hint="eastAsia" w:ascii="仿宋" w:hAnsi="仿宋" w:eastAsia="仿宋"/>
          <w:color w:val="333333"/>
          <w:sz w:val="28"/>
          <w:szCs w:val="24"/>
          <w:shd w:val="clear" w:color="auto" w:fill="FFFFFF"/>
        </w:rPr>
        <w:t>（生物化学;啤酒;烈性酒;果汁酒;醋;微生物学;酶学;突变或遗传工程）</w:t>
      </w:r>
      <w:r>
        <w:rPr>
          <w:rFonts w:hint="eastAsia" w:ascii="仿宋" w:hAnsi="仿宋" w:eastAsia="仿宋"/>
          <w:color w:val="333333"/>
          <w:sz w:val="28"/>
          <w:szCs w:val="24"/>
          <w:shd w:val="clear" w:color="auto" w:fill="FFFFFF"/>
          <w:lang w:val="en-US" w:eastAsia="zh-CN"/>
        </w:rPr>
        <w:t>等，详情参见图6。</w:t>
      </w:r>
    </w:p>
    <w:p>
      <w:pPr>
        <w:pStyle w:val="7"/>
        <w:numPr>
          <w:ilvl w:val="0"/>
          <w:numId w:val="0"/>
        </w:numPr>
        <w:spacing w:line="480" w:lineRule="auto"/>
        <w:ind w:firstLine="0"/>
        <w:jc w:val="both"/>
        <w:rPr>
          <w:rFonts w:hint="eastAsia" w:ascii="仿宋" w:hAnsi="仿宋" w:eastAsia="仿宋"/>
          <w:b/>
          <w:sz w:val="24"/>
          <w:szCs w:val="24"/>
        </w:rPr>
      </w:pPr>
    </w:p>
    <w:p>
      <w:pPr>
        <w:pStyle w:val="7"/>
        <w:numPr>
          <w:ilvl w:val="0"/>
          <w:numId w:val="0"/>
        </w:numPr>
        <w:spacing w:line="480" w:lineRule="auto"/>
        <w:ind w:firstLine="0"/>
        <w:jc w:val="center"/>
        <w:rPr>
          <w:rFonts w:hint="default" w:ascii="仿宋" w:hAnsi="仿宋" w:eastAsia="仿宋"/>
          <w:color w:val="333333"/>
          <w:sz w:val="28"/>
          <w:szCs w:val="24"/>
          <w:shd w:val="clear" w:color="auto" w:fill="FFFFFF"/>
          <w:lang w:val="en-US" w:eastAsia="zh-CN"/>
        </w:rPr>
      </w:pPr>
      <w:r>
        <w:rPr>
          <w:rFonts w:hint="eastAsia" w:ascii="仿宋" w:hAnsi="仿宋" w:eastAsia="仿宋"/>
          <w:b/>
          <w:sz w:val="24"/>
          <w:szCs w:val="24"/>
        </w:rPr>
        <w:t>图</w:t>
      </w:r>
      <w:r>
        <w:rPr>
          <w:rFonts w:hint="eastAsia" w:ascii="仿宋" w:hAnsi="仿宋" w:eastAsia="仿宋"/>
          <w:b/>
          <w:sz w:val="24"/>
          <w:szCs w:val="24"/>
          <w:lang w:val="en-US" w:eastAsia="zh-CN"/>
        </w:rPr>
        <w:t>6</w:t>
      </w:r>
      <w:r>
        <w:rPr>
          <w:rFonts w:hint="eastAsia" w:ascii="仿宋" w:hAnsi="仿宋" w:eastAsia="仿宋"/>
          <w:b/>
          <w:sz w:val="24"/>
          <w:szCs w:val="24"/>
        </w:rPr>
        <w:t>：河北科技师范学院</w:t>
      </w:r>
      <w:r>
        <w:rPr>
          <w:rFonts w:hint="eastAsia" w:ascii="仿宋" w:hAnsi="仿宋" w:eastAsia="仿宋"/>
          <w:b/>
          <w:sz w:val="24"/>
          <w:szCs w:val="24"/>
          <w:lang w:val="en-US" w:eastAsia="zh-CN"/>
        </w:rPr>
        <w:t>2021年第四季度</w:t>
      </w:r>
      <w:r>
        <w:rPr>
          <w:rFonts w:hint="eastAsia" w:ascii="仿宋" w:hAnsi="仿宋" w:eastAsia="仿宋"/>
          <w:b/>
          <w:sz w:val="24"/>
          <w:szCs w:val="24"/>
        </w:rPr>
        <w:t>专利技术领域与产业</w:t>
      </w:r>
      <w:r>
        <w:rPr>
          <w:rFonts w:hint="eastAsia" w:ascii="仿宋" w:hAnsi="仿宋" w:eastAsia="仿宋"/>
          <w:b/>
          <w:sz w:val="24"/>
          <w:szCs w:val="24"/>
          <w:lang w:val="en-US" w:eastAsia="zh-CN"/>
        </w:rPr>
        <w:t>构成分布</w:t>
      </w:r>
    </w:p>
    <w:p>
      <w:pPr>
        <w:numPr>
          <w:ilvl w:val="0"/>
          <w:numId w:val="0"/>
        </w:numPr>
        <w:jc w:val="center"/>
        <w:outlineLvl w:val="9"/>
      </w:pPr>
      <w:r>
        <w:drawing>
          <wp:inline distT="0" distB="0" distL="114300" distR="114300">
            <wp:extent cx="4572000" cy="3068320"/>
            <wp:effectExtent l="4445" t="4445" r="14605" b="13335"/>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outlineLvl w:val="9"/>
        <w:rPr>
          <w:rFonts w:hint="eastAsia"/>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35" w:name="_Toc23978"/>
      <w:r>
        <w:rPr>
          <w:rFonts w:hint="eastAsia" w:ascii="黑体" w:hAnsi="黑体" w:eastAsia="黑体" w:cs="黑体"/>
          <w:b/>
          <w:bCs/>
          <w:sz w:val="32"/>
          <w:szCs w:val="32"/>
          <w:lang w:val="en-US" w:eastAsia="zh-CN"/>
        </w:rPr>
        <w:t>7.申请机构分析</w:t>
      </w:r>
      <w:bookmarkEnd w:id="35"/>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综合分析2021年第四季度我校公布公告的专利申请机构，河北科技师范学院申请专利38件，占比86.4%；河北科技师范学院联合其他机构申请专利共计6件，占比13.6%；具体分布参见图7。</w:t>
      </w:r>
    </w:p>
    <w:p>
      <w:pPr>
        <w:numPr>
          <w:ilvl w:val="0"/>
          <w:numId w:val="0"/>
        </w:numPr>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2021年第四季度专利申请机构分布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36" w:name="_Toc29"/>
      <w:r>
        <w:rPr>
          <w:rFonts w:hint="eastAsia" w:ascii="黑体" w:hAnsi="黑体" w:eastAsia="黑体" w:cs="黑体"/>
          <w:b/>
          <w:bCs/>
          <w:sz w:val="32"/>
          <w:szCs w:val="32"/>
          <w:lang w:val="en-US" w:eastAsia="zh-CN"/>
        </w:rPr>
        <w:t>8.代理机构分析</w:t>
      </w:r>
      <w:bookmarkEnd w:id="36"/>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综合分析2021年第四季度我校公布公告的44件专利，代理申请机构共23家，其中北京慕达星云知识产权代理事务所、无锡睿升知识产权代理事务所代理申请专利4件，数量最多，具体代理机构分布参见表3。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2021年第四季度专利代理机构统</w:t>
      </w:r>
      <w:r>
        <w:rPr>
          <w:rFonts w:hint="eastAsia" w:ascii="仿宋" w:hAnsi="仿宋" w:eastAsia="仿宋" w:cs="仿宋"/>
          <w:b/>
          <w:bCs/>
          <w:color w:val="000000"/>
          <w:kern w:val="0"/>
          <w:sz w:val="24"/>
          <w:szCs w:val="24"/>
          <w:lang w:bidi="ar"/>
        </w:rPr>
        <w:t>计表</w:t>
      </w:r>
    </w:p>
    <w:tbl>
      <w:tblPr>
        <w:tblStyle w:val="4"/>
        <w:tblW w:w="4998" w:type="pct"/>
        <w:tblInd w:w="0" w:type="dxa"/>
        <w:shd w:val="clear" w:color="auto" w:fill="auto"/>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无锡睿升知识产权代理事务所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重庆百润洪知识产权代理有限公司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北京科亿知识产权代理事务所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北京中建联合知识产权代理事务所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沈阳科威专利代理有限责任公司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西安赛嘉知识产权代理事务所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北京保识知识产权代理事务所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北京鑫知翼知识产权代理事务所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秦皇岛市维信专利事务所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西安铭泽知识产权代理事务所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ind w:leftChars="0"/>
        <w:jc w:val="both"/>
        <w:outlineLvl w:val="0"/>
        <w:rPr>
          <w:rFonts w:hint="eastAsia" w:ascii="黑体" w:hAnsi="黑体" w:eastAsia="黑体" w:cs="黑体"/>
          <w:b/>
          <w:bCs/>
          <w:sz w:val="32"/>
          <w:szCs w:val="32"/>
          <w:lang w:val="en-US" w:eastAsia="zh-CN"/>
        </w:rPr>
      </w:pPr>
      <w:bookmarkStart w:id="37" w:name="_Toc17108"/>
    </w:p>
    <w:p>
      <w:pPr>
        <w:numPr>
          <w:ilvl w:val="0"/>
          <w:numId w:val="0"/>
        </w:numPr>
        <w:ind w:leftChars="0"/>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9.综合分析</w:t>
      </w:r>
      <w:bookmarkEnd w:id="37"/>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21年第四季度以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bookmarkStart w:id="38" w:name="_GoBack"/>
      <w:bookmarkEnd w:id="38"/>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1685C19"/>
    <w:rsid w:val="0483130D"/>
    <w:rsid w:val="06990DAE"/>
    <w:rsid w:val="07182F9B"/>
    <w:rsid w:val="088C3CD7"/>
    <w:rsid w:val="0914023F"/>
    <w:rsid w:val="092143A6"/>
    <w:rsid w:val="09B42C43"/>
    <w:rsid w:val="09E17A48"/>
    <w:rsid w:val="0CF25BED"/>
    <w:rsid w:val="0E8B2048"/>
    <w:rsid w:val="0F7D3CB0"/>
    <w:rsid w:val="0FC565CF"/>
    <w:rsid w:val="100D6CB0"/>
    <w:rsid w:val="12A07991"/>
    <w:rsid w:val="13B92811"/>
    <w:rsid w:val="145E26DF"/>
    <w:rsid w:val="15940FE0"/>
    <w:rsid w:val="183362FA"/>
    <w:rsid w:val="18D45E15"/>
    <w:rsid w:val="194D0490"/>
    <w:rsid w:val="19637F68"/>
    <w:rsid w:val="1B3905FE"/>
    <w:rsid w:val="1C191511"/>
    <w:rsid w:val="1C493791"/>
    <w:rsid w:val="1C6A49DF"/>
    <w:rsid w:val="1D897F9C"/>
    <w:rsid w:val="1DC847F5"/>
    <w:rsid w:val="212C7E1E"/>
    <w:rsid w:val="218D2CEB"/>
    <w:rsid w:val="21EC7D2E"/>
    <w:rsid w:val="23F7738B"/>
    <w:rsid w:val="257C1730"/>
    <w:rsid w:val="25A3244A"/>
    <w:rsid w:val="26103455"/>
    <w:rsid w:val="270A666F"/>
    <w:rsid w:val="29235777"/>
    <w:rsid w:val="29C2197B"/>
    <w:rsid w:val="2A9068F5"/>
    <w:rsid w:val="2B575D84"/>
    <w:rsid w:val="2C962685"/>
    <w:rsid w:val="2CF34017"/>
    <w:rsid w:val="2E5C7862"/>
    <w:rsid w:val="2F9430FA"/>
    <w:rsid w:val="2FFB2754"/>
    <w:rsid w:val="30377616"/>
    <w:rsid w:val="32F4490A"/>
    <w:rsid w:val="3315234D"/>
    <w:rsid w:val="34057E68"/>
    <w:rsid w:val="34DE478A"/>
    <w:rsid w:val="359B42B5"/>
    <w:rsid w:val="38C3426C"/>
    <w:rsid w:val="3D0965CD"/>
    <w:rsid w:val="3DAD5057"/>
    <w:rsid w:val="3E4F15BC"/>
    <w:rsid w:val="403B1B74"/>
    <w:rsid w:val="404B3271"/>
    <w:rsid w:val="40C9212B"/>
    <w:rsid w:val="44347697"/>
    <w:rsid w:val="457C3B30"/>
    <w:rsid w:val="473F0949"/>
    <w:rsid w:val="47766676"/>
    <w:rsid w:val="4792299D"/>
    <w:rsid w:val="483C6667"/>
    <w:rsid w:val="48451CC9"/>
    <w:rsid w:val="49A67BF5"/>
    <w:rsid w:val="49B53B3C"/>
    <w:rsid w:val="49BA5AED"/>
    <w:rsid w:val="4CBF595B"/>
    <w:rsid w:val="4E183EA3"/>
    <w:rsid w:val="50031498"/>
    <w:rsid w:val="50A17799"/>
    <w:rsid w:val="520A1777"/>
    <w:rsid w:val="52565734"/>
    <w:rsid w:val="570D32BF"/>
    <w:rsid w:val="5910311B"/>
    <w:rsid w:val="5B3C4B32"/>
    <w:rsid w:val="5CE73A06"/>
    <w:rsid w:val="5F2707BA"/>
    <w:rsid w:val="600B67F4"/>
    <w:rsid w:val="607A1266"/>
    <w:rsid w:val="61A74C65"/>
    <w:rsid w:val="64E45CBF"/>
    <w:rsid w:val="6667078B"/>
    <w:rsid w:val="668B0E89"/>
    <w:rsid w:val="6756501E"/>
    <w:rsid w:val="6B0E4C6F"/>
    <w:rsid w:val="6BA96EB9"/>
    <w:rsid w:val="6BFE49CE"/>
    <w:rsid w:val="6C5D3223"/>
    <w:rsid w:val="6CAA6AA6"/>
    <w:rsid w:val="6DCA01B5"/>
    <w:rsid w:val="6F8841AA"/>
    <w:rsid w:val="7026593E"/>
    <w:rsid w:val="72597D20"/>
    <w:rsid w:val="73DB124A"/>
    <w:rsid w:val="765B19B7"/>
    <w:rsid w:val="76A82190"/>
    <w:rsid w:val="777671FE"/>
    <w:rsid w:val="786F0052"/>
    <w:rsid w:val="78C50E4E"/>
    <w:rsid w:val="791B6720"/>
    <w:rsid w:val="7B300740"/>
    <w:rsid w:val="7B612381"/>
    <w:rsid w:val="7BA202A1"/>
    <w:rsid w:val="7BFD77F8"/>
    <w:rsid w:val="7D5960B7"/>
    <w:rsid w:val="7DFD2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Normal (Web)"/>
    <w:basedOn w:val="1"/>
    <w:qFormat/>
    <w:uiPriority w:val="0"/>
    <w:rPr>
      <w:sz w:val="24"/>
    </w:rPr>
  </w:style>
  <w:style w:type="paragraph" w:customStyle="1" w:styleId="6">
    <w:name w:val="WPSOffice手动目录 1"/>
    <w:qFormat/>
    <w:uiPriority w:val="0"/>
    <w:pPr>
      <w:ind w:leftChars="0"/>
    </w:pPr>
    <w:rPr>
      <w:rFonts w:ascii="Times New Roman" w:hAnsi="Times New Roman" w:eastAsia="宋体" w:cs="Times New Roman"/>
      <w:sz w:val="20"/>
      <w:szCs w:val="20"/>
    </w:rPr>
  </w:style>
  <w:style w:type="paragraph" w:styleId="7">
    <w:name w:val="List Paragraph"/>
    <w:basedOn w:val="1"/>
    <w:unhideWhenUsed/>
    <w:qFormat/>
    <w:uiPriority w:val="34"/>
    <w:pPr>
      <w:ind w:firstLine="420" w:firstLineChars="200"/>
    </w:pPr>
    <w:rPr>
      <w:rFonts w:hint="eastAsia"/>
      <w:sz w:val="21"/>
      <w:szCs w:val="24"/>
    </w:rPr>
  </w:style>
  <w:style w:type="paragraph" w:styleId="8">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4.&#31185;&#30740;&#25104;&#26524;&#20998;&#26512;&#25253;&#21578;\&#26085;&#24120;&#24037;&#20316;--&#19987;&#21033;&#20998;&#26512;&#25253;&#21578;\2021&#31532;&#22235;&#23395;&#24230;&#25105;&#26657;&#19987;&#21033;&#24773;&#20917;&#32479;&#35745;\CNKI-2021&#31532;&#22235;&#23395;&#24230;&#19987;&#21033;&#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tx>
            <c:strRef>
              <c:f>'[CNKI-2021第四季度专利总表.xlsx]1.数量分析'!$G$1</c:f>
              <c:strCache>
                <c:ptCount val="1"/>
                <c:pt idx="0">
                  <c:v>专利数量</c:v>
                </c:pt>
              </c:strCache>
            </c:strRef>
          </c:tx>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'[CNKI-2021第四季度专利总表.xlsx]1.数量分析'!$F$2:$F$4</c:f>
              <c:numCache>
                <c:formatCode>yyyy"年"m"月"</c:formatCode>
                <c:ptCount val="3"/>
                <c:pt idx="0" c:formatCode="yyyy&quot;年&quot;m&quot;月&quot;">
                  <c:v>44470</c:v>
                </c:pt>
                <c:pt idx="1" c:formatCode="yyyy&quot;年&quot;m&quot;月&quot;">
                  <c:v>44501</c:v>
                </c:pt>
                <c:pt idx="2" c:formatCode="yyyy&quot;年&quot;m&quot;月&quot;">
                  <c:v>44531</c:v>
                </c:pt>
              </c:numCache>
            </c:numRef>
          </c:cat>
          <c:val>
            <c:numRef>
              <c:f>'[CNKI-2021第四季度专利总表.xlsx]1.数量分析'!$G$2:$G$4</c:f>
              <c:numCache>
                <c:formatCode>General</c:formatCode>
                <c:ptCount val="3"/>
                <c:pt idx="0">
                  <c:v>9</c:v>
                </c:pt>
                <c:pt idx="1">
                  <c:v>19</c:v>
                </c:pt>
                <c:pt idx="2">
                  <c:v>16</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237295916"/>
        <c:axId val="934784811"/>
      </c:lineChart>
      <c:dateAx>
        <c:axId val="237295916"/>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934784811"/>
        <c:crosses val="autoZero"/>
        <c:auto val="1"/>
        <c:lblOffset val="100"/>
        <c:baseTimeUnit val="months"/>
      </c:dateAx>
      <c:valAx>
        <c:axId val="934784811"/>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2372959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'[CNKI-2021第四季度专利总表.xlsx]2.专利类别'!$F$2:$F$4</c:f>
              <c:strCache>
                <c:ptCount val="3"/>
                <c:pt idx="0">
                  <c:v>实用新型</c:v>
                </c:pt>
                <c:pt idx="1">
                  <c:v>发明公开</c:v>
                </c:pt>
                <c:pt idx="2">
                  <c:v>发明授权</c:v>
                </c:pt>
              </c:strCache>
            </c:strRef>
          </c:cat>
          <c:val>
            <c:numRef>
              <c:f>'[CNKI-2021第四季度专利总表.xlsx]2.专利类别'!$G$2:$G$4</c:f>
              <c:numCache>
                <c:formatCode>General</c:formatCode>
                <c:ptCount val="3"/>
                <c:pt idx="0">
                  <c:v>12</c:v>
                </c:pt>
                <c:pt idx="1">
                  <c:v>25</c:v>
                </c:pt>
                <c:pt idx="2">
                  <c:v>7</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'[CNKI-2021第四季度专利总表.xlsx]3.学科'!$F$1:$F$20</c:f>
              <c:strCache>
                <c:ptCount val="20"/>
                <c:pt idx="0">
                  <c:v>轻工业手工业</c:v>
                </c:pt>
                <c:pt idx="1">
                  <c:v>园艺</c:v>
                </c:pt>
                <c:pt idx="2">
                  <c:v>金属学及金属工艺</c:v>
                </c:pt>
                <c:pt idx="3">
                  <c:v>建筑科学与工程</c:v>
                </c:pt>
                <c:pt idx="4">
                  <c:v>农艺学</c:v>
                </c:pt>
                <c:pt idx="5">
                  <c:v>农业工程</c:v>
                </c:pt>
                <c:pt idx="6">
                  <c:v>畜牧与动物医学</c:v>
                </c:pt>
                <c:pt idx="7">
                  <c:v>生物学</c:v>
                </c:pt>
                <c:pt idx="8">
                  <c:v>林业</c:v>
                </c:pt>
                <c:pt idx="9">
                  <c:v>船舶工业</c:v>
                </c:pt>
                <c:pt idx="10">
                  <c:v>武器工业与军事技术</c:v>
                </c:pt>
                <c:pt idx="11">
                  <c:v>药学</c:v>
                </c:pt>
                <c:pt idx="12">
                  <c:v>仪器仪表工业</c:v>
                </c:pt>
                <c:pt idx="13">
                  <c:v>机械工业</c:v>
                </c:pt>
                <c:pt idx="14">
                  <c:v>植物保护</c:v>
                </c:pt>
                <c:pt idx="15">
                  <c:v>电力工业</c:v>
                </c:pt>
                <c:pt idx="16">
                  <c:v>一般化学工业</c:v>
                </c:pt>
                <c:pt idx="17">
                  <c:v>动力工程</c:v>
                </c:pt>
                <c:pt idx="18">
                  <c:v>无机化学</c:v>
                </c:pt>
                <c:pt idx="19">
                  <c:v>蚕蜂与野生动物保护</c:v>
                </c:pt>
              </c:strCache>
            </c:strRef>
          </c:cat>
          <c:val>
            <c:numRef>
              <c:f>'[CNKI-2021第四季度专利总表.xlsx]3.学科'!$G$1:$G$20</c:f>
              <c:numCache>
                <c:formatCode>General</c:formatCode>
                <c:ptCount val="20"/>
                <c:pt idx="0">
                  <c:v>13</c:v>
                </c:pt>
                <c:pt idx="1">
                  <c:v>3</c:v>
                </c:pt>
                <c:pt idx="2">
                  <c:v>3</c:v>
                </c:pt>
                <c:pt idx="3">
                  <c:v>3</c:v>
                </c:pt>
                <c:pt idx="4">
                  <c:v>3</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'[CNKI-2021第四季度专利总表.xlsx]4.主题'!$E$1:$E$20</c:f>
              <c:strCache>
                <c:ptCount val="20"/>
                <c:pt idx="0">
                  <c:v>制备方法</c:v>
                </c:pt>
                <c:pt idx="1">
                  <c:v>施工方法</c:v>
                </c:pt>
                <c:pt idx="2">
                  <c:v>多线切割机</c:v>
                </c:pt>
                <c:pt idx="3">
                  <c:v>学生管理</c:v>
                </c:pt>
                <c:pt idx="4">
                  <c:v>体育教学</c:v>
                </c:pt>
                <c:pt idx="5">
                  <c:v>体育器械</c:v>
                </c:pt>
                <c:pt idx="6">
                  <c:v>机械臂</c:v>
                </c:pt>
                <c:pt idx="7">
                  <c:v>密肋楼盖结构</c:v>
                </c:pt>
                <c:pt idx="8">
                  <c:v>利用方法</c:v>
                </c:pt>
                <c:pt idx="9">
                  <c:v>水下机器人</c:v>
                </c:pt>
                <c:pt idx="10">
                  <c:v>太阳能电池片</c:v>
                </c:pt>
                <c:pt idx="11">
                  <c:v>双翅目昆虫</c:v>
                </c:pt>
                <c:pt idx="12">
                  <c:v>数据解析</c:v>
                </c:pt>
                <c:pt idx="13">
                  <c:v>振动干燥</c:v>
                </c:pt>
                <c:pt idx="14">
                  <c:v>IBR</c:v>
                </c:pt>
                <c:pt idx="15">
                  <c:v>L7/L12</c:v>
                </c:pt>
                <c:pt idx="16">
                  <c:v>雨水利用</c:v>
                </c:pt>
                <c:pt idx="17">
                  <c:v>太阳能电池组件</c:v>
                </c:pt>
                <c:pt idx="18">
                  <c:v>前处理方法</c:v>
                </c:pt>
                <c:pt idx="19">
                  <c:v>智能家具</c:v>
                </c:pt>
              </c:strCache>
            </c:strRef>
          </c:cat>
          <c:val>
            <c:numRef>
              <c:f>'[CNKI-2021第四季度专利总表.xlsx]4.主题'!$F$1:$F$20</c:f>
              <c:numCache>
                <c:formatCode>General</c:formatCode>
                <c:ptCount val="20"/>
                <c:pt idx="0">
                  <c:v>4</c:v>
                </c:pt>
                <c:pt idx="1">
                  <c:v>3</c:v>
                </c:pt>
                <c:pt idx="2">
                  <c:v>3</c:v>
                </c:pt>
                <c:pt idx="3">
                  <c:v>2</c:v>
                </c:pt>
                <c:pt idx="4">
                  <c:v>2</c:v>
                </c:pt>
                <c:pt idx="5">
                  <c:v>2</c:v>
                </c:pt>
                <c:pt idx="6">
                  <c:v>2</c:v>
                </c:pt>
                <c:pt idx="7">
                  <c:v>2</c:v>
                </c:pt>
                <c:pt idx="8">
                  <c:v>2</c:v>
                </c:pt>
                <c:pt idx="9">
                  <c:v>2</c:v>
                </c:pt>
                <c:pt idx="10">
                  <c:v>2</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998013691"/>
        <c:axId val="503168092"/>
      </c:barChart>
      <c:catAx>
        <c:axId val="9980136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3168092"/>
        <c:crosses val="autoZero"/>
        <c:auto val="1"/>
        <c:lblAlgn val="ctr"/>
        <c:lblOffset val="100"/>
        <c:noMultiLvlLbl val="0"/>
      </c:catAx>
      <c:valAx>
        <c:axId val="5031680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80136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'[CNKI-2021第四季度专利总表.xlsx]4.主题'!$K$1:$K$20</c:f>
              <c:strCache>
                <c:ptCount val="20"/>
                <c:pt idx="0">
                  <c:v>固定连接</c:v>
                </c:pt>
                <c:pt idx="1">
                  <c:v>玉米自交系</c:v>
                </c:pt>
                <c:pt idx="2">
                  <c:v>安装座</c:v>
                </c:pt>
                <c:pt idx="3">
                  <c:v>伸缩杆</c:v>
                </c:pt>
                <c:pt idx="4">
                  <c:v>导向杆</c:v>
                </c:pt>
                <c:pt idx="5">
                  <c:v>切割加工</c:v>
                </c:pt>
                <c:pt idx="6">
                  <c:v>执行单元</c:v>
                </c:pt>
                <c:pt idx="7">
                  <c:v>矩形单元</c:v>
                </c:pt>
                <c:pt idx="8">
                  <c:v>惯性传感器</c:v>
                </c:pt>
                <c:pt idx="9">
                  <c:v>淬火介质</c:v>
                </c:pt>
                <c:pt idx="10">
                  <c:v>导管螺旋桨</c:v>
                </c:pt>
                <c:pt idx="11">
                  <c:v>盐浴炉</c:v>
                </c:pt>
                <c:pt idx="12">
                  <c:v>锚固段</c:v>
                </c:pt>
                <c:pt idx="13">
                  <c:v>一机多用</c:v>
                </c:pt>
                <c:pt idx="14">
                  <c:v>显示灯</c:v>
                </c:pt>
                <c:pt idx="15">
                  <c:v>切割线</c:v>
                </c:pt>
                <c:pt idx="16">
                  <c:v>发射头</c:v>
                </c:pt>
                <c:pt idx="17">
                  <c:v>惯性力</c:v>
                </c:pt>
                <c:pt idx="18">
                  <c:v>支撑板</c:v>
                </c:pt>
                <c:pt idx="19">
                  <c:v>缓冲罐</c:v>
                </c:pt>
              </c:strCache>
            </c:strRef>
          </c:cat>
          <c:val>
            <c:numRef>
              <c:f>'[CNKI-2021第四季度专利总表.xlsx]4.主题'!$L$1:$L$20</c:f>
              <c:numCache>
                <c:formatCode>General</c:formatCode>
                <c:ptCount val="20"/>
                <c:pt idx="0">
                  <c:v>5</c:v>
                </c:pt>
                <c:pt idx="1">
                  <c:v>3</c:v>
                </c:pt>
                <c:pt idx="2">
                  <c:v>2</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597375982"/>
        <c:axId val="31387943"/>
      </c:barChart>
      <c:catAx>
        <c:axId val="5973759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87943"/>
        <c:crosses val="autoZero"/>
        <c:auto val="1"/>
        <c:lblAlgn val="ctr"/>
        <c:lblOffset val="100"/>
        <c:noMultiLvlLbl val="0"/>
      </c:catAx>
      <c:valAx>
        <c:axId val="31387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73759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'[CNKI-2021第四季度专利总表.xlsx]6.IPC'!$C$3:$C$25</c:f>
              <c:strCache>
                <c:ptCount val="23"/>
                <c:pt idx="0">
                  <c:v>A01</c:v>
                </c:pt>
                <c:pt idx="1">
                  <c:v>A63</c:v>
                </c:pt>
                <c:pt idx="2">
                  <c:v>B28</c:v>
                </c:pt>
                <c:pt idx="3">
                  <c:v>C12</c:v>
                </c:pt>
                <c:pt idx="4">
                  <c:v>E04</c:v>
                </c:pt>
                <c:pt idx="5">
                  <c:v>A23</c:v>
                </c:pt>
                <c:pt idx="6">
                  <c:v>A47</c:v>
                </c:pt>
                <c:pt idx="7">
                  <c:v>A61</c:v>
                </c:pt>
                <c:pt idx="8">
                  <c:v>B63</c:v>
                </c:pt>
                <c:pt idx="9">
                  <c:v>B08</c:v>
                </c:pt>
                <c:pt idx="10">
                  <c:v>B21</c:v>
                </c:pt>
                <c:pt idx="11">
                  <c:v>B23</c:v>
                </c:pt>
                <c:pt idx="12">
                  <c:v>B25</c:v>
                </c:pt>
                <c:pt idx="13">
                  <c:v>B32</c:v>
                </c:pt>
                <c:pt idx="14">
                  <c:v>C03</c:v>
                </c:pt>
                <c:pt idx="15">
                  <c:v>C11</c:v>
                </c:pt>
                <c:pt idx="16">
                  <c:v>C21</c:v>
                </c:pt>
                <c:pt idx="17">
                  <c:v>C22</c:v>
                </c:pt>
                <c:pt idx="18">
                  <c:v>F16</c:v>
                </c:pt>
                <c:pt idx="19">
                  <c:v>F26</c:v>
                </c:pt>
                <c:pt idx="20">
                  <c:v>G01</c:v>
                </c:pt>
                <c:pt idx="21">
                  <c:v>G06</c:v>
                </c:pt>
                <c:pt idx="22">
                  <c:v>G07</c:v>
                </c:pt>
              </c:strCache>
            </c:strRef>
          </c:cat>
          <c:val>
            <c:numRef>
              <c:f>'[CNKI-2021第四季度专利总表.xlsx]6.IPC'!$D$3:$D$25</c:f>
              <c:numCache>
                <c:formatCode>General</c:formatCode>
                <c:ptCount val="23"/>
                <c:pt idx="0">
                  <c:v>9</c:v>
                </c:pt>
                <c:pt idx="1">
                  <c:v>4</c:v>
                </c:pt>
                <c:pt idx="2">
                  <c:v>3</c:v>
                </c:pt>
                <c:pt idx="3">
                  <c:v>3</c:v>
                </c:pt>
                <c:pt idx="4">
                  <c:v>3</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'[CNKI-2021第四季度专利总表.xlsx]7.申请机构'!$C$3:$C$4</c:f>
              <c:strCache>
                <c:ptCount val="2"/>
                <c:pt idx="0">
                  <c:v>河北科技师范学院</c:v>
                </c:pt>
                <c:pt idx="1">
                  <c:v>河北科技师范学院+其他机构</c:v>
                </c:pt>
              </c:strCache>
            </c:strRef>
          </c:cat>
          <c:val>
            <c:numRef>
              <c:f>'[CNKI-2021第四季度专利总表.xlsx]7.申请机构'!$D$3:$D$4</c:f>
              <c:numCache>
                <c:formatCode>General</c:formatCode>
                <c:ptCount val="2"/>
                <c:pt idx="0">
                  <c:v>38</c:v>
                </c:pt>
                <c:pt idx="1">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1870</Words>
  <Characters>2034</Characters>
  <Lines>0</Lines>
  <Paragraphs>0</Paragraphs>
  <TotalTime>1</TotalTime>
  <ScaleCrop>false</ScaleCrop>
  <LinksUpToDate>false</LinksUpToDate>
  <CharactersWithSpaces>2565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2023-04-13T06:47:05Z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283202343150454C9EA6F84D4A8ED49C</vt:lpwstr>
  </property>
</Properties>
</file>