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rPr>
          <w:rFonts w:hint="eastAsia" w:ascii="微软雅黑" w:hAnsi="微软雅黑" w:eastAsia="微软雅黑"/>
          <w:sz w:val="28"/>
          <w:szCs w:val="24"/>
          <w:u w:val="single"/>
        </w:rPr>
        <w:sectPr>
          <w:pgSz w:w="11906" w:h="16838"/>
          <w:pgMar w:top="1440" w:right="1080" w:bottom="1440" w:left="1080" w:header="1134" w:footer="794" w:gutter="0"/>
          <w:pgBorders>
            <w:top w:val="none" w:sz="0" w:space="0"/>
            <w:left w:val="none" w:sz="0" w:space="0"/>
            <w:bottom w:val="none" w:sz="0" w:space="0"/>
            <w:right w:val="none" w:sz="0" w:space="0"/>
          </w:pgBorders>
          <w:lnNumType w:countBy="0" w:distance="360"/>
          <w:cols w:space="720" w:num="1"/>
          <w:titlePg/>
          <w:docGrid w:linePitch="286" w:charSpace="0"/>
        </w:sect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2022年第一季度专利统计分析报告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2022年第一季度专利统计分析报告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5"/>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15"/>
                        <w:spacing w:before="40" w:after="560" w:line="216" w:lineRule="auto"/>
                        <w:rPr>
                          <w:rFonts w:hint="eastAsia" w:ascii="微软雅黑" w:hAnsi="微软雅黑" w:eastAsia="微软雅黑"/>
                          <w:color w:val="000000"/>
                          <w:sz w:val="48"/>
                          <w:szCs w:val="24"/>
                        </w:rPr>
                      </w:pPr>
                    </w:p>
                  </w:txbxContent>
                </v:textbox>
              </v:shape>
            </w:pict>
          </mc:Fallback>
        </mc:AlternateContent>
      </w:r>
    </w:p>
    <w:p>
      <w:pPr>
        <w:spacing w:line="480" w:lineRule="auto"/>
        <w:outlineLvl w:val="0"/>
        <w:rPr>
          <w:rFonts w:hint="eastAsia" w:ascii="仿宋" w:hAnsi="仿宋" w:eastAsia="仿宋" w:cs="仿宋"/>
          <w:sz w:val="28"/>
          <w:szCs w:val="28"/>
        </w:rPr>
      </w:pPr>
      <w:r>
        <w:rPr>
          <w:rFonts w:hint="eastAsia" w:ascii="仿宋" w:hAnsi="仿宋" w:eastAsia="仿宋" w:cs="仿宋"/>
          <w:b/>
          <w:bCs/>
          <w:sz w:val="28"/>
          <w:szCs w:val="28"/>
        </w:rPr>
        <w:t>数据来源</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22</w:t>
      </w:r>
      <w:r>
        <w:rPr>
          <w:rFonts w:hint="eastAsia" w:ascii="仿宋" w:hAnsi="仿宋" w:eastAsia="仿宋" w:cs="仿宋"/>
          <w:sz w:val="28"/>
          <w:szCs w:val="28"/>
        </w:rPr>
        <w:t>年</w:t>
      </w:r>
      <w:r>
        <w:rPr>
          <w:rFonts w:hint="eastAsia" w:ascii="仿宋" w:hAnsi="仿宋" w:eastAsia="仿宋" w:cs="仿宋"/>
          <w:sz w:val="28"/>
          <w:szCs w:val="28"/>
          <w:lang w:val="en-US" w:eastAsia="zh-CN"/>
        </w:rPr>
        <w:t>4</w:t>
      </w:r>
      <w:r>
        <w:rPr>
          <w:rFonts w:hint="eastAsia" w:ascii="仿宋" w:hAnsi="仿宋" w:eastAsia="仿宋" w:cs="仿宋"/>
          <w:sz w:val="28"/>
          <w:szCs w:val="28"/>
        </w:rPr>
        <w:t>月</w:t>
      </w:r>
      <w:r>
        <w:rPr>
          <w:rFonts w:hint="eastAsia" w:ascii="仿宋" w:hAnsi="仿宋" w:eastAsia="仿宋" w:cs="仿宋"/>
          <w:sz w:val="28"/>
          <w:szCs w:val="28"/>
          <w:lang w:val="en-US" w:eastAsia="zh-CN"/>
        </w:rPr>
        <w:t>5</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22</w:t>
      </w:r>
      <w:r>
        <w:rPr>
          <w:rFonts w:hint="eastAsia" w:ascii="仿宋" w:hAnsi="仿宋" w:eastAsia="仿宋" w:cs="仿宋"/>
          <w:sz w:val="28"/>
          <w:szCs w:val="28"/>
        </w:rPr>
        <w:t>年</w:t>
      </w:r>
      <w:r>
        <w:rPr>
          <w:rFonts w:hint="eastAsia" w:ascii="仿宋" w:hAnsi="仿宋" w:eastAsia="仿宋" w:cs="仿宋"/>
          <w:sz w:val="28"/>
          <w:szCs w:val="28"/>
          <w:lang w:val="en-US" w:eastAsia="zh-CN"/>
        </w:rPr>
        <w:t>4</w:t>
      </w:r>
      <w:r>
        <w:rPr>
          <w:rFonts w:hint="eastAsia" w:ascii="仿宋" w:hAnsi="仿宋" w:eastAsia="仿宋" w:cs="仿宋"/>
          <w:sz w:val="28"/>
          <w:szCs w:val="28"/>
        </w:rPr>
        <w:t>月</w:t>
      </w:r>
      <w:r>
        <w:rPr>
          <w:rFonts w:hint="eastAsia" w:ascii="仿宋" w:hAnsi="仿宋" w:eastAsia="仿宋" w:cs="仿宋"/>
          <w:sz w:val="28"/>
          <w:szCs w:val="28"/>
          <w:lang w:val="en-US" w:eastAsia="zh-CN"/>
        </w:rPr>
        <w:t>12</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0" w:name="_Toc20858"/>
      <w:bookmarkStart w:id="1" w:name="_Toc9203"/>
      <w:bookmarkStart w:id="2" w:name="_Toc5625"/>
      <w:bookmarkStart w:id="3" w:name="_Toc31217"/>
      <w:bookmarkStart w:id="4" w:name="_Toc9874"/>
      <w:r>
        <w:rPr>
          <w:rFonts w:hint="eastAsia"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5" w:name="_Toc11709"/>
      <w:bookmarkStart w:id="6" w:name="_Toc3908"/>
      <w:bookmarkStart w:id="7" w:name="_Toc29516"/>
      <w:bookmarkStart w:id="8" w:name="_Toc17869"/>
      <w:bookmarkStart w:id="9" w:name="_Toc25482"/>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5"/>
      <w:bookmarkEnd w:id="6"/>
      <w:bookmarkEnd w:id="7"/>
      <w:bookmarkEnd w:id="8"/>
      <w:bookmarkEnd w:id="9"/>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10" w:name="_Toc2529"/>
      <w:bookmarkStart w:id="11" w:name="_Toc27907"/>
      <w:bookmarkStart w:id="12" w:name="_Toc5698"/>
      <w:bookmarkStart w:id="13" w:name="_Toc6044"/>
      <w:bookmarkStart w:id="14" w:name="_Toc10280"/>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10"/>
      <w:bookmarkEnd w:id="11"/>
      <w:bookmarkEnd w:id="12"/>
      <w:bookmarkEnd w:id="13"/>
      <w:bookmarkEnd w:id="14"/>
    </w:p>
    <w:p>
      <w:pPr>
        <w:spacing w:line="480" w:lineRule="auto"/>
        <w:ind w:left="360"/>
        <w:jc w:val="left"/>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default" w:ascii="仿宋" w:hAnsi="仿宋" w:eastAsia="仿宋" w:cs="仿宋"/>
          <w:sz w:val="28"/>
          <w:szCs w:val="28"/>
          <w:lang w:val="en-US" w:eastAsia="zh-CN"/>
        </w:rPr>
      </w:pPr>
    </w:p>
    <w:p/>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b/>
          <w:bCs/>
          <w:kern w:val="2"/>
          <w:sz w:val="44"/>
          <w:szCs w:val="44"/>
          <w:lang w:val="en-US" w:eastAsia="zh-CN" w:bidi="ar-SA"/>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目录</w:t>
          </w:r>
        </w:p>
        <w:p>
          <w:pPr>
            <w:pStyle w:val="12"/>
            <w:tabs>
              <w:tab w:val="right" w:leader="dot" w:pos="8306"/>
            </w:tabs>
            <w:rPr>
              <w:b/>
            </w:rPr>
          </w:pPr>
          <w:r>
            <w:fldChar w:fldCharType="begin"/>
          </w:r>
          <w:r>
            <w:instrText xml:space="preserve">TOC \o "1-2" \h \u </w:instrText>
          </w:r>
          <w:r>
            <w:fldChar w:fldCharType="separate"/>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_Toc9885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1.专利数量分析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_Toc9885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_Toc6255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2.专利类别分析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_Toc6255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_Toc12539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3.学科分析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_Toc12539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_Toc18240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4.主题词分析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_Toc18240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_Toc9952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5.发明人分析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_Toc9952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_Toc6690 </w:instrText>
          </w:r>
          <w:r>
            <w:rPr>
              <w:rFonts w:hint="eastAsia" w:ascii="宋体" w:hAnsi="宋体" w:eastAsia="宋体" w:cs="宋体"/>
              <w:b w:val="0"/>
              <w:bCs/>
              <w:sz w:val="24"/>
              <w:szCs w:val="24"/>
            </w:rPr>
            <w:fldChar w:fldCharType="separate"/>
          </w:r>
          <w:r>
            <w:rPr>
              <w:rFonts w:hint="eastAsia" w:ascii="宋体" w:hAnsi="宋体" w:eastAsia="宋体" w:cs="宋体"/>
              <w:b w:val="0"/>
              <w:bCs/>
              <w:kern w:val="2"/>
              <w:sz w:val="24"/>
              <w:szCs w:val="24"/>
              <w:lang w:val="en-US" w:eastAsia="zh-CN" w:bidi="ar-SA"/>
            </w:rPr>
            <w:t>6.技术领域与产业构成分析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_Toc6690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8</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_Toc23978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7.申请机构分析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_Toc23978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9</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8.代理机构分析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10</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b/>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_Toc17108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9.综合分析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_Toc17108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10</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rPr>
              <w:b/>
            </w:rPr>
          </w:pPr>
        </w:p>
        <w:p>
          <w:r>
            <w:rPr>
              <w:b/>
            </w:rPr>
            <w:fldChar w:fldCharType="end"/>
          </w:r>
        </w:p>
      </w:sdtContent>
    </w:sdt>
    <w:p>
      <w:pPr>
        <w:jc w:val="center"/>
        <w:outlineLvl w:val="0"/>
        <w:rPr>
          <w:rFonts w:hint="eastAsia" w:ascii="黑体" w:hAnsi="黑体" w:eastAsia="黑体" w:cs="黑体"/>
          <w:b/>
          <w:bCs/>
          <w:sz w:val="44"/>
          <w:szCs w:val="44"/>
          <w:lang w:val="en-US" w:eastAsia="zh-CN"/>
        </w:rPr>
      </w:pPr>
      <w:bookmarkStart w:id="15" w:name="_Toc10728"/>
      <w:bookmarkStart w:id="16" w:name="_Toc23538"/>
      <w:bookmarkStart w:id="17" w:name="_Toc32336"/>
      <w:bookmarkStart w:id="18" w:name="_Toc10867"/>
      <w:bookmarkStart w:id="19" w:name="_Toc30326"/>
      <w:bookmarkStart w:id="20" w:name="_Toc10613"/>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both"/>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河北科技师范学院</w:t>
      </w:r>
      <w:bookmarkEnd w:id="15"/>
      <w:bookmarkEnd w:id="16"/>
      <w:bookmarkEnd w:id="17"/>
      <w:bookmarkEnd w:id="18"/>
      <w:bookmarkEnd w:id="19"/>
      <w:bookmarkEnd w:id="20"/>
    </w:p>
    <w:p>
      <w:pPr>
        <w:jc w:val="center"/>
        <w:outlineLvl w:val="0"/>
        <w:rPr>
          <w:rFonts w:hint="eastAsia" w:ascii="黑体" w:hAnsi="黑体" w:eastAsia="黑体" w:cs="黑体"/>
          <w:b/>
          <w:bCs/>
          <w:sz w:val="44"/>
          <w:szCs w:val="44"/>
          <w:lang w:val="en-US" w:eastAsia="zh-CN"/>
        </w:rPr>
      </w:pPr>
      <w:bookmarkStart w:id="21" w:name="_Toc9198"/>
      <w:bookmarkStart w:id="22" w:name="_Toc23894"/>
      <w:bookmarkStart w:id="23" w:name="_Toc29920"/>
      <w:bookmarkStart w:id="24" w:name="_Toc18557"/>
      <w:bookmarkStart w:id="25" w:name="_Toc23731"/>
      <w:bookmarkStart w:id="26" w:name="_Toc8609"/>
      <w:r>
        <w:rPr>
          <w:rFonts w:hint="eastAsia" w:ascii="黑体" w:hAnsi="黑体" w:eastAsia="黑体" w:cs="黑体"/>
          <w:b/>
          <w:bCs/>
          <w:sz w:val="44"/>
          <w:szCs w:val="44"/>
          <w:lang w:val="en-US" w:eastAsia="zh-CN"/>
        </w:rPr>
        <w:t>2022年第一季度专利情况统计分析报告</w:t>
      </w:r>
      <w:bookmarkEnd w:id="21"/>
      <w:bookmarkEnd w:id="22"/>
      <w:bookmarkEnd w:id="23"/>
      <w:bookmarkEnd w:id="24"/>
      <w:bookmarkEnd w:id="25"/>
      <w:bookmarkEnd w:id="26"/>
    </w:p>
    <w:p>
      <w:pPr>
        <w:numPr>
          <w:ilvl w:val="0"/>
          <w:numId w:val="0"/>
        </w:numPr>
        <w:jc w:val="both"/>
        <w:outlineLvl w:val="9"/>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27" w:name="_Toc9885"/>
      <w:r>
        <w:rPr>
          <w:rFonts w:hint="eastAsia" w:ascii="黑体" w:hAnsi="黑体" w:eastAsia="黑体" w:cs="黑体"/>
          <w:b/>
          <w:bCs/>
          <w:sz w:val="32"/>
          <w:szCs w:val="32"/>
          <w:lang w:val="en-US" w:eastAsia="zh-CN"/>
        </w:rPr>
        <w:t>1.专利数量分析</w:t>
      </w:r>
      <w:bookmarkEnd w:id="27"/>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w:t>
      </w:r>
      <w:r>
        <w:rPr>
          <w:rFonts w:hint="eastAsia" w:ascii="仿宋" w:hAnsi="仿宋" w:eastAsia="仿宋" w:cs="仿宋"/>
          <w:sz w:val="28"/>
          <w:szCs w:val="28"/>
          <w:lang w:eastAsia="zh-CN"/>
        </w:rPr>
        <w:t>2022年第一季度</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为申请人的专利公布公告50件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具体分布情况见表1。2022年第一季度，我校申请专利总体趋于上升，2022年3月申请专利数量较多，总体趋势见图1。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2022年第一季度专利</w:t>
      </w:r>
      <w:r>
        <w:rPr>
          <w:rFonts w:hint="eastAsia" w:ascii="仿宋" w:hAnsi="仿宋" w:eastAsia="仿宋" w:cs="仿宋"/>
          <w:b/>
          <w:bCs/>
          <w:color w:val="000000"/>
          <w:kern w:val="0"/>
          <w:sz w:val="24"/>
          <w:szCs w:val="24"/>
          <w:lang w:bidi="ar"/>
        </w:rPr>
        <w:t>情况统计表</w:t>
      </w:r>
    </w:p>
    <w:tbl>
      <w:tblPr>
        <w:tblStyle w:val="8"/>
        <w:tblW w:w="4998" w:type="pct"/>
        <w:jc w:val="center"/>
        <w:shd w:val="clear" w:color="auto" w:fill="auto"/>
        <w:tblLayout w:type="autofit"/>
        <w:tblCellMar>
          <w:top w:w="0" w:type="dxa"/>
          <w:left w:w="0" w:type="dxa"/>
          <w:bottom w:w="0" w:type="dxa"/>
          <w:right w:w="0" w:type="dxa"/>
        </w:tblCellMar>
      </w:tblPr>
      <w:tblGrid>
        <w:gridCol w:w="4419"/>
        <w:gridCol w:w="3914"/>
      </w:tblGrid>
      <w:tr>
        <w:tblPrEx>
          <w:shd w:val="clear" w:color="auto" w:fill="auto"/>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2022年1月</w:t>
            </w:r>
          </w:p>
        </w:tc>
        <w:tc>
          <w:tcPr>
            <w:tcW w:w="234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2022年2月</w:t>
            </w:r>
          </w:p>
        </w:tc>
        <w:tc>
          <w:tcPr>
            <w:tcW w:w="2348"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2022年3月</w:t>
            </w:r>
          </w:p>
        </w:tc>
        <w:tc>
          <w:tcPr>
            <w:tcW w:w="234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348"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2022年第一季度专利总体趋势</w:t>
      </w: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p>
    <w:p>
      <w:pPr>
        <w:widowControl w:val="0"/>
        <w:numPr>
          <w:ilvl w:val="0"/>
          <w:numId w:val="0"/>
        </w:numPr>
        <w:tabs>
          <w:tab w:val="left" w:pos="312"/>
        </w:tabs>
        <w:jc w:val="center"/>
        <w:rPr>
          <w:rFonts w:hint="eastAsia" w:ascii="黑体" w:hAnsi="黑体" w:eastAsia="黑体" w:cs="黑体"/>
          <w:b/>
          <w:bCs/>
          <w:sz w:val="32"/>
          <w:szCs w:val="32"/>
          <w:lang w:val="en-US" w:eastAsia="zh-CN"/>
        </w:rPr>
      </w:pPr>
      <w:r>
        <w:rPr>
          <w:rFonts w:hint="eastAsia"/>
          <w:lang w:val="en-US" w:eastAsia="zh-CN"/>
        </w:rPr>
        <w:t xml:space="preserve"> </w:t>
      </w:r>
      <w:bookmarkStart w:id="28" w:name="_Toc6255"/>
      <w:r>
        <w:drawing>
          <wp:inline distT="0" distB="0" distL="114300" distR="114300">
            <wp:extent cx="4572000" cy="2743200"/>
            <wp:effectExtent l="4445" t="4445" r="1460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2.专利类别分析</w:t>
      </w:r>
      <w:bookmarkEnd w:id="28"/>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一季度我校公布公告的专利类别，发明公开专利29件，发明授权专利8件，实用新型专利11件，外观设计专利2件。我校2022年第一季度专利类别主要集中在发明专利上，占比74%，说明我校专利创新水平较高，研发能力也比较强，具体情况参见图2。</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2022年第一季度专利类别分布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29" w:name="_Toc12539"/>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3.学科分析</w:t>
      </w:r>
      <w:bookmarkEnd w:id="29"/>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综合分析2022年第一季度我校公布公告的专利学科关系，占比较多的学科有：轻工业手工业12件，园艺6件，电力工业4件，农艺学4件，具体详情参见图3。</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ind w:firstLine="1205" w:firstLineChars="5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2022年第一季度专利学科分布</w:t>
      </w: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3666490"/>
            <wp:effectExtent l="5080" t="4445" r="13970" b="5715"/>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center"/>
      </w:pPr>
      <w:bookmarkStart w:id="30" w:name="_Toc18240"/>
    </w:p>
    <w:p>
      <w:pPr>
        <w:numPr>
          <w:ilvl w:val="0"/>
          <w:numId w:val="0"/>
        </w:numPr>
        <w:jc w:val="center"/>
        <w:rPr>
          <w:rFonts w:hint="eastAsia"/>
          <w:lang w:val="en-US" w:eastAsia="zh-CN"/>
        </w:rPr>
      </w:pPr>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4.主题词分析</w:t>
      </w:r>
      <w:bookmarkEnd w:id="30"/>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一季度我校公布公告的专利主题词，主要主题词中制备方法、氧化石墨烯、植株再生、复合材料、体细胞胚诱导等主题词出现频率较高。次要主题词中固定连接、甘薯渣、控制器等主题词出现频率较高。下图列举频次较高的主要主题词和次要主题词，具体分布参见图4和图5。</w:t>
      </w: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both"/>
        <w:rPr>
          <w:rFonts w:hint="eastAsia" w:ascii="仿宋" w:hAnsi="仿宋" w:eastAsia="仿宋" w:cs="仿宋"/>
          <w:b/>
          <w:bCs/>
          <w:sz w:val="24"/>
          <w:szCs w:val="24"/>
          <w:lang w:val="en-US" w:eastAsia="zh-CN"/>
        </w:rPr>
      </w:pPr>
    </w:p>
    <w:p>
      <w:pPr>
        <w:numPr>
          <w:ilvl w:val="0"/>
          <w:numId w:val="0"/>
        </w:numPr>
        <w:spacing w:line="360" w:lineRule="auto"/>
        <w:jc w:val="both"/>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2022年第一季度主要主题词分布</w:t>
      </w: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p>
    <w:p>
      <w:pPr>
        <w:numPr>
          <w:ilvl w:val="0"/>
          <w:numId w:val="0"/>
        </w:numPr>
        <w:spacing w:line="360" w:lineRule="auto"/>
        <w:jc w:val="center"/>
        <w:rPr>
          <w:rFonts w:hint="eastAsia" w:ascii="仿宋" w:hAnsi="仿宋" w:eastAsia="仿宋" w:cs="仿宋"/>
          <w:b/>
          <w:bCs/>
          <w:sz w:val="24"/>
          <w:szCs w:val="24"/>
          <w:lang w:val="en-US" w:eastAsia="zh-CN"/>
        </w:rPr>
      </w:pPr>
      <w:r>
        <w:drawing>
          <wp:inline distT="0" distB="0" distL="114300" distR="114300">
            <wp:extent cx="4572000" cy="2743200"/>
            <wp:effectExtent l="4445" t="4445" r="14605" b="14605"/>
            <wp:docPr id="1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2022年第一季度次要主题词分布</w:t>
      </w:r>
    </w:p>
    <w:p>
      <w:pPr>
        <w:numPr>
          <w:ilvl w:val="0"/>
          <w:numId w:val="0"/>
        </w:numPr>
        <w:jc w:val="center"/>
        <w:rPr>
          <w:rFonts w:hint="eastAsia"/>
          <w:lang w:val="en-US" w:eastAsia="zh-CN"/>
        </w:rPr>
      </w:pPr>
      <w:r>
        <w:drawing>
          <wp:inline distT="0" distB="0" distL="114300" distR="114300">
            <wp:extent cx="4572000" cy="2743200"/>
            <wp:effectExtent l="4445" t="4445" r="14605" b="14605"/>
            <wp:docPr id="1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31" w:name="_Toc9952"/>
      <w:r>
        <w:rPr>
          <w:rFonts w:hint="eastAsia" w:ascii="黑体" w:hAnsi="黑体" w:eastAsia="黑体" w:cs="黑体"/>
          <w:b/>
          <w:bCs/>
          <w:sz w:val="32"/>
          <w:szCs w:val="32"/>
          <w:lang w:val="en-US" w:eastAsia="zh-CN"/>
        </w:rPr>
        <w:t>5.发明人分析</w:t>
      </w:r>
      <w:bookmarkEnd w:id="31"/>
      <w:r>
        <w:rPr>
          <w:rFonts w:hint="eastAsia" w:ascii="黑体" w:hAnsi="黑体" w:eastAsia="黑体" w:cs="黑体"/>
          <w:b w:val="0"/>
          <w:bCs w:val="0"/>
          <w:sz w:val="32"/>
          <w:szCs w:val="32"/>
          <w:lang w:val="en-US" w:eastAsia="zh-CN"/>
        </w:rPr>
        <w:t>（含合作者）</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综合分析2022年第一季度我校公布公告的专利发明人，</w:t>
      </w:r>
      <w:r>
        <w:rPr>
          <w:rFonts w:hint="default" w:ascii="仿宋" w:hAnsi="仿宋" w:eastAsia="仿宋" w:cs="仿宋"/>
          <w:sz w:val="28"/>
          <w:szCs w:val="28"/>
          <w:lang w:val="en-US" w:eastAsia="zh-CN"/>
        </w:rPr>
        <w:t>参与</w:t>
      </w:r>
      <w:r>
        <w:rPr>
          <w:rFonts w:hint="eastAsia" w:ascii="仿宋" w:hAnsi="仿宋" w:eastAsia="仿宋" w:cs="仿宋"/>
          <w:sz w:val="28"/>
          <w:szCs w:val="28"/>
          <w:lang w:val="en-US" w:eastAsia="zh-CN"/>
        </w:rPr>
        <w:t>三</w:t>
      </w:r>
      <w:r>
        <w:rPr>
          <w:rFonts w:hint="default" w:ascii="仿宋" w:hAnsi="仿宋" w:eastAsia="仿宋" w:cs="仿宋"/>
          <w:sz w:val="28"/>
          <w:szCs w:val="28"/>
          <w:lang w:val="en-US" w:eastAsia="zh-CN"/>
        </w:rPr>
        <w:t>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22</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keepNext w:val="0"/>
        <w:keepLines w:val="0"/>
        <w:pageBreakBefore w:val="0"/>
        <w:numPr>
          <w:ilvl w:val="0"/>
          <w:numId w:val="0"/>
        </w:numPr>
        <w:kinsoku/>
        <w:wordWrap/>
        <w:overflowPunct/>
        <w:topLinePunct w:val="0"/>
        <w:autoSpaceDE/>
        <w:autoSpaceDN/>
        <w:bidi w:val="0"/>
        <w:adjustRightInd/>
        <w:snapToGrid/>
        <w:spacing w:line="240" w:lineRule="atLeast"/>
        <w:jc w:val="center"/>
        <w:rPr>
          <w:rFonts w:hint="eastAsia" w:ascii="仿宋" w:hAnsi="仿宋" w:eastAsia="仿宋" w:cs="仿宋"/>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center"/>
        <w:rPr>
          <w:rFonts w:hint="eastAsia" w:ascii="仿宋" w:hAnsi="仿宋" w:eastAsia="仿宋" w:cs="仿宋"/>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2022年第一季度专利发明人统</w:t>
      </w:r>
      <w:r>
        <w:rPr>
          <w:rFonts w:hint="eastAsia" w:ascii="仿宋" w:hAnsi="仿宋" w:eastAsia="仿宋" w:cs="仿宋"/>
          <w:b/>
          <w:bCs/>
          <w:color w:val="000000"/>
          <w:kern w:val="0"/>
          <w:sz w:val="24"/>
          <w:szCs w:val="24"/>
          <w:lang w:bidi="ar"/>
        </w:rPr>
        <w:t>计表</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482" w:firstLineChars="200"/>
        <w:jc w:val="center"/>
        <w:rPr>
          <w:rFonts w:hint="eastAsia" w:ascii="仿宋" w:hAnsi="仿宋" w:eastAsia="仿宋" w:cs="仿宋"/>
          <w:b/>
          <w:bCs/>
          <w:color w:val="000000"/>
          <w:kern w:val="0"/>
          <w:sz w:val="24"/>
          <w:szCs w:val="24"/>
          <w:lang w:bidi="ar"/>
        </w:rPr>
      </w:pPr>
    </w:p>
    <w:tbl>
      <w:tblPr>
        <w:tblStyle w:val="8"/>
        <w:tblW w:w="4998" w:type="pct"/>
        <w:jc w:val="center"/>
        <w:shd w:val="clear" w:color="auto" w:fill="auto"/>
        <w:tblLayout w:type="autofit"/>
        <w:tblCellMar>
          <w:top w:w="0" w:type="dxa"/>
          <w:left w:w="0" w:type="dxa"/>
          <w:bottom w:w="0" w:type="dxa"/>
          <w:right w:w="0" w:type="dxa"/>
        </w:tblCellMar>
      </w:tblPr>
      <w:tblGrid>
        <w:gridCol w:w="1069"/>
        <w:gridCol w:w="1636"/>
        <w:gridCol w:w="1395"/>
        <w:gridCol w:w="1199"/>
        <w:gridCol w:w="1642"/>
        <w:gridCol w:w="1392"/>
      </w:tblGrid>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王健</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李明媛</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李军</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刘绍军</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张京政</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孙胜显</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韩金玲</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王东升</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李向岭</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王秀平</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李云</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杨晴</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杨敏</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杨洋</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曹飞</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杨越冬</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程才红</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张敏</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侯文龙</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21</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张若鸿</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吉志新</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bl>
    <w:p>
      <w:pPr>
        <w:numPr>
          <w:ilvl w:val="0"/>
          <w:numId w:val="0"/>
        </w:numPr>
        <w:jc w:val="both"/>
        <w:outlineLvl w:val="9"/>
        <w:rPr>
          <w:rFonts w:hint="eastAsia" w:ascii="黑体" w:hAnsi="黑体" w:eastAsia="黑体" w:cs="黑体"/>
          <w:b/>
          <w:bCs/>
          <w:sz w:val="32"/>
          <w:szCs w:val="32"/>
          <w:lang w:val="en-US" w:eastAsia="zh-CN"/>
        </w:rPr>
      </w:pPr>
    </w:p>
    <w:p>
      <w:pPr>
        <w:pStyle w:val="14"/>
        <w:numPr>
          <w:ilvl w:val="0"/>
          <w:numId w:val="0"/>
        </w:numPr>
        <w:spacing w:before="156" w:beforeLines="50" w:after="156" w:afterLines="50" w:line="432" w:lineRule="auto"/>
        <w:ind w:firstLine="0"/>
        <w:outlineLvl w:val="0"/>
        <w:rPr>
          <w:rFonts w:hint="default" w:ascii="黑体" w:hAnsi="黑体" w:eastAsia="黑体" w:cs="黑体"/>
          <w:b/>
          <w:bCs/>
          <w:kern w:val="2"/>
          <w:sz w:val="32"/>
          <w:szCs w:val="32"/>
          <w:lang w:val="en-US" w:eastAsia="zh-CN" w:bidi="ar-SA"/>
        </w:rPr>
      </w:pPr>
      <w:bookmarkStart w:id="32" w:name="_Toc20469"/>
      <w:bookmarkStart w:id="33" w:name="_Toc16727"/>
      <w:bookmarkStart w:id="34" w:name="_Toc6690"/>
      <w:r>
        <w:rPr>
          <w:rFonts w:hint="eastAsia" w:ascii="黑体" w:hAnsi="黑体" w:eastAsia="黑体" w:cs="黑体"/>
          <w:b/>
          <w:bCs/>
          <w:kern w:val="2"/>
          <w:sz w:val="32"/>
          <w:szCs w:val="32"/>
          <w:lang w:val="en-US" w:eastAsia="zh-CN" w:bidi="ar-SA"/>
        </w:rPr>
        <w:t>6.技术领域与产业构成</w:t>
      </w:r>
      <w:bookmarkEnd w:id="32"/>
      <w:bookmarkEnd w:id="33"/>
      <w:r>
        <w:rPr>
          <w:rFonts w:hint="eastAsia" w:ascii="黑体" w:hAnsi="黑体" w:eastAsia="黑体" w:cs="黑体"/>
          <w:b/>
          <w:bCs/>
          <w:kern w:val="2"/>
          <w:sz w:val="32"/>
          <w:szCs w:val="32"/>
          <w:lang w:val="en-US" w:eastAsia="zh-CN" w:bidi="ar-SA"/>
        </w:rPr>
        <w:t>分析</w:t>
      </w:r>
      <w:bookmarkEnd w:id="34"/>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right="0" w:firstLine="560" w:firstLineChars="200"/>
        <w:jc w:val="left"/>
        <w:rPr>
          <w:rFonts w:hint="default" w:ascii="仿宋" w:hAnsi="仿宋" w:eastAsia="仿宋"/>
          <w:color w:val="333333"/>
          <w:sz w:val="28"/>
          <w:szCs w:val="24"/>
          <w:shd w:val="clear" w:color="auto" w:fill="FFFFFF"/>
          <w:lang w:val="en-US" w:eastAsia="zh-CN"/>
        </w:rPr>
      </w:pPr>
      <w:r>
        <w:rPr>
          <w:rFonts w:hint="eastAsia" w:ascii="仿宋" w:hAnsi="仿宋" w:eastAsia="仿宋" w:cs="仿宋"/>
          <w:sz w:val="28"/>
          <w:szCs w:val="28"/>
          <w:lang w:val="en-US" w:eastAsia="zh-CN"/>
        </w:rPr>
        <w:t>综合分析2022年第一季度我校公布公告的专利，其</w:t>
      </w:r>
      <w:r>
        <w:rPr>
          <w:rFonts w:hint="eastAsia" w:ascii="仿宋" w:hAnsi="仿宋" w:eastAsia="仿宋"/>
          <w:color w:val="000000"/>
          <w:sz w:val="28"/>
          <w:szCs w:val="24"/>
        </w:rPr>
        <w:t>主要集中在IPC分类中的下面几个大类：</w:t>
      </w:r>
      <w:r>
        <w:rPr>
          <w:rFonts w:hint="eastAsia" w:ascii="仿宋" w:hAnsi="仿宋" w:eastAsia="仿宋"/>
          <w:color w:val="333333"/>
          <w:sz w:val="28"/>
          <w:szCs w:val="24"/>
          <w:shd w:val="clear" w:color="auto" w:fill="FFFFFF"/>
        </w:rPr>
        <w:t>A</w:t>
      </w:r>
      <w:r>
        <w:rPr>
          <w:rFonts w:hint="eastAsia" w:ascii="仿宋" w:hAnsi="仿宋" w:eastAsia="仿宋"/>
          <w:color w:val="333333"/>
          <w:sz w:val="28"/>
          <w:szCs w:val="24"/>
          <w:shd w:val="clear" w:color="auto" w:fill="FFFFFF"/>
          <w:lang w:val="en-US" w:eastAsia="zh-CN"/>
        </w:rPr>
        <w:t>0</w:t>
      </w:r>
      <w:r>
        <w:rPr>
          <w:rFonts w:hint="eastAsia" w:ascii="仿宋" w:hAnsi="仿宋" w:eastAsia="仿宋"/>
          <w:color w:val="333333"/>
          <w:sz w:val="28"/>
          <w:szCs w:val="24"/>
          <w:shd w:val="clear" w:color="auto" w:fill="FFFFFF"/>
        </w:rPr>
        <w:t>1（农业；林业；畜牧业；狩猎；诱捕；捕鱼）</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C12</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rPr>
        <w:t>糖工业</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H01（基本电器元件）、G06（计算；推算或计数）等，详情参见图6。</w:t>
      </w:r>
    </w:p>
    <w:p>
      <w:pPr>
        <w:pStyle w:val="14"/>
        <w:numPr>
          <w:ilvl w:val="0"/>
          <w:numId w:val="0"/>
        </w:numPr>
        <w:spacing w:line="480" w:lineRule="auto"/>
        <w:ind w:firstLine="0"/>
        <w:jc w:val="center"/>
        <w:rPr>
          <w:rFonts w:hint="eastAsia" w:ascii="仿宋" w:hAnsi="仿宋" w:eastAsia="仿宋"/>
          <w:b/>
          <w:sz w:val="24"/>
          <w:szCs w:val="24"/>
        </w:rPr>
      </w:pPr>
    </w:p>
    <w:p>
      <w:pPr>
        <w:pStyle w:val="14"/>
        <w:numPr>
          <w:ilvl w:val="0"/>
          <w:numId w:val="0"/>
        </w:numPr>
        <w:spacing w:line="480" w:lineRule="auto"/>
        <w:ind w:firstLine="0"/>
        <w:jc w:val="both"/>
        <w:rPr>
          <w:rFonts w:hint="eastAsia" w:ascii="仿宋" w:hAnsi="仿宋" w:eastAsia="仿宋"/>
          <w:b/>
          <w:sz w:val="24"/>
          <w:szCs w:val="24"/>
        </w:rPr>
      </w:pPr>
    </w:p>
    <w:p>
      <w:pPr>
        <w:pStyle w:val="14"/>
        <w:numPr>
          <w:ilvl w:val="0"/>
          <w:numId w:val="0"/>
        </w:numPr>
        <w:spacing w:line="480" w:lineRule="auto"/>
        <w:ind w:firstLine="0"/>
        <w:jc w:val="both"/>
        <w:rPr>
          <w:rFonts w:hint="eastAsia" w:ascii="仿宋" w:hAnsi="仿宋" w:eastAsia="仿宋"/>
          <w:b/>
          <w:sz w:val="24"/>
          <w:szCs w:val="24"/>
        </w:rPr>
      </w:pPr>
    </w:p>
    <w:p>
      <w:pPr>
        <w:pStyle w:val="14"/>
        <w:numPr>
          <w:ilvl w:val="0"/>
          <w:numId w:val="0"/>
        </w:numPr>
        <w:spacing w:line="480" w:lineRule="auto"/>
        <w:ind w:firstLine="0"/>
        <w:jc w:val="both"/>
        <w:rPr>
          <w:rFonts w:hint="eastAsia" w:ascii="仿宋" w:hAnsi="仿宋" w:eastAsia="仿宋"/>
          <w:b/>
          <w:sz w:val="24"/>
          <w:szCs w:val="24"/>
        </w:rPr>
      </w:pPr>
    </w:p>
    <w:p>
      <w:pPr>
        <w:pStyle w:val="14"/>
        <w:numPr>
          <w:ilvl w:val="0"/>
          <w:numId w:val="0"/>
        </w:numPr>
        <w:spacing w:line="480" w:lineRule="auto"/>
        <w:ind w:firstLine="0"/>
        <w:jc w:val="both"/>
        <w:rPr>
          <w:rFonts w:hint="eastAsia" w:ascii="仿宋" w:hAnsi="仿宋" w:eastAsia="仿宋"/>
          <w:b/>
          <w:sz w:val="24"/>
          <w:szCs w:val="24"/>
        </w:rPr>
      </w:pPr>
    </w:p>
    <w:p>
      <w:pPr>
        <w:pStyle w:val="14"/>
        <w:numPr>
          <w:ilvl w:val="0"/>
          <w:numId w:val="0"/>
        </w:numPr>
        <w:spacing w:line="480" w:lineRule="auto"/>
        <w:ind w:firstLine="0"/>
        <w:jc w:val="center"/>
        <w:rPr>
          <w:rFonts w:hint="default" w:ascii="仿宋" w:hAnsi="仿宋" w:eastAsia="仿宋"/>
          <w:color w:val="333333"/>
          <w:sz w:val="28"/>
          <w:szCs w:val="24"/>
          <w:shd w:val="clear" w:color="auto" w:fill="FFFFFF"/>
          <w:lang w:val="en-US" w:eastAsia="zh-CN"/>
        </w:rPr>
      </w:pPr>
      <w:r>
        <w:rPr>
          <w:rFonts w:hint="eastAsia" w:ascii="仿宋" w:hAnsi="仿宋" w:eastAsia="仿宋"/>
          <w:b/>
          <w:sz w:val="24"/>
          <w:szCs w:val="24"/>
        </w:rPr>
        <w:t>图</w:t>
      </w:r>
      <w:r>
        <w:rPr>
          <w:rFonts w:hint="eastAsia" w:ascii="仿宋" w:hAnsi="仿宋" w:eastAsia="仿宋"/>
          <w:b/>
          <w:sz w:val="24"/>
          <w:szCs w:val="24"/>
          <w:lang w:val="en-US" w:eastAsia="zh-CN"/>
        </w:rPr>
        <w:t>6</w:t>
      </w:r>
      <w:r>
        <w:rPr>
          <w:rFonts w:hint="eastAsia" w:ascii="仿宋" w:hAnsi="仿宋" w:eastAsia="仿宋"/>
          <w:b/>
          <w:sz w:val="24"/>
          <w:szCs w:val="24"/>
        </w:rPr>
        <w:t>：河北科技师范学院</w:t>
      </w:r>
      <w:r>
        <w:rPr>
          <w:rFonts w:hint="eastAsia" w:ascii="仿宋" w:hAnsi="仿宋" w:eastAsia="仿宋"/>
          <w:b/>
          <w:sz w:val="24"/>
          <w:szCs w:val="24"/>
          <w:lang w:val="en-US" w:eastAsia="zh-CN"/>
        </w:rPr>
        <w:t>2022年第一季度</w:t>
      </w:r>
      <w:r>
        <w:rPr>
          <w:rFonts w:hint="eastAsia" w:ascii="仿宋" w:hAnsi="仿宋" w:eastAsia="仿宋"/>
          <w:b/>
          <w:sz w:val="24"/>
          <w:szCs w:val="24"/>
        </w:rPr>
        <w:t>专利技术领域与产业</w:t>
      </w:r>
      <w:r>
        <w:rPr>
          <w:rFonts w:hint="eastAsia" w:ascii="仿宋" w:hAnsi="仿宋" w:eastAsia="仿宋"/>
          <w:b/>
          <w:sz w:val="24"/>
          <w:szCs w:val="24"/>
          <w:lang w:val="en-US" w:eastAsia="zh-CN"/>
        </w:rPr>
        <w:t>构成分布</w:t>
      </w:r>
    </w:p>
    <w:p>
      <w:pPr>
        <w:numPr>
          <w:ilvl w:val="0"/>
          <w:numId w:val="0"/>
        </w:numPr>
        <w:jc w:val="center"/>
        <w:outlineLvl w:val="9"/>
      </w:pPr>
      <w:r>
        <w:drawing>
          <wp:inline distT="0" distB="0" distL="114300" distR="114300">
            <wp:extent cx="4572000" cy="2743200"/>
            <wp:effectExtent l="4445" t="4445" r="14605" b="1460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numPr>
          <w:ilvl w:val="0"/>
          <w:numId w:val="0"/>
        </w:numPr>
        <w:jc w:val="center"/>
        <w:outlineLvl w:val="9"/>
        <w:rPr>
          <w:rFonts w:hint="eastAsia"/>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35" w:name="_Toc23978"/>
      <w:r>
        <w:rPr>
          <w:rFonts w:hint="eastAsia" w:ascii="黑体" w:hAnsi="黑体" w:eastAsia="黑体" w:cs="黑体"/>
          <w:b/>
          <w:bCs/>
          <w:sz w:val="32"/>
          <w:szCs w:val="32"/>
          <w:lang w:val="en-US" w:eastAsia="zh-CN"/>
        </w:rPr>
        <w:t>7.申请机构分析</w:t>
      </w:r>
      <w:bookmarkEnd w:id="35"/>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综合分析2022年第一季度我校公布公告的专利申请机构，河北科技师范学院申请专利44件，占比88%；河北科技师范学院联合其他机构申请专利共计6件，占比12%；具体分布参见图7。</w:t>
      </w:r>
    </w:p>
    <w:p>
      <w:pPr>
        <w:numPr>
          <w:ilvl w:val="0"/>
          <w:numId w:val="0"/>
        </w:numPr>
        <w:spacing w:line="360" w:lineRule="auto"/>
        <w:jc w:val="both"/>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2022年第一季度专利申请机构分布</w:t>
      </w: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813050"/>
            <wp:effectExtent l="4445" t="4445" r="14605" b="2095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36" w:name="_Toc29"/>
      <w:r>
        <w:rPr>
          <w:rFonts w:hint="eastAsia" w:ascii="黑体" w:hAnsi="黑体" w:eastAsia="黑体" w:cs="黑体"/>
          <w:b/>
          <w:bCs/>
          <w:sz w:val="32"/>
          <w:szCs w:val="32"/>
          <w:lang w:val="en-US" w:eastAsia="zh-CN"/>
        </w:rPr>
        <w:t>8.代理机构分析</w:t>
      </w:r>
      <w:bookmarkEnd w:id="36"/>
    </w:p>
    <w:p>
      <w:pPr>
        <w:spacing w:line="48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一季度我校公布公告的50件专利，代理申请机构共28家，其中北京慕达星云知识产权代理事务所、深圳树贤专利代理事务所、北京中济纬天专利代理有限公司代理申请专利数量较多，具体代理机构分布参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2022年第一季度专利代理机构统</w:t>
      </w:r>
      <w:r>
        <w:rPr>
          <w:rFonts w:hint="eastAsia" w:ascii="仿宋" w:hAnsi="仿宋" w:eastAsia="仿宋" w:cs="仿宋"/>
          <w:b/>
          <w:bCs/>
          <w:color w:val="000000"/>
          <w:kern w:val="0"/>
          <w:sz w:val="24"/>
          <w:szCs w:val="24"/>
          <w:lang w:bidi="ar"/>
        </w:rPr>
        <w:t>计表</w:t>
      </w:r>
    </w:p>
    <w:tbl>
      <w:tblPr>
        <w:tblStyle w:val="8"/>
        <w:tblW w:w="4998" w:type="pct"/>
        <w:tblInd w:w="0" w:type="dxa"/>
        <w:shd w:val="clear" w:color="auto" w:fill="auto"/>
        <w:tblLayout w:type="autofit"/>
        <w:tblCellMar>
          <w:top w:w="0" w:type="dxa"/>
          <w:left w:w="0" w:type="dxa"/>
          <w:bottom w:w="0" w:type="dxa"/>
          <w:right w:w="0" w:type="dxa"/>
        </w:tblCellMar>
      </w:tblPr>
      <w:tblGrid>
        <w:gridCol w:w="1560"/>
        <w:gridCol w:w="5074"/>
        <w:gridCol w:w="1699"/>
      </w:tblGrid>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深圳树贤专利代理事务所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北京中济纬天专利代理有限公司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中国和平利用军工技术协会专利中心</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北京中强智尚知识产权代理有限公司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北京卓特专利代理事务所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济南知来知识产权代理事务所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西安铭泽知识产权代理事务所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ind w:leftChars="0"/>
        <w:jc w:val="both"/>
        <w:outlineLvl w:val="0"/>
        <w:rPr>
          <w:rFonts w:hint="eastAsia" w:ascii="黑体" w:hAnsi="黑体" w:eastAsia="黑体" w:cs="黑体"/>
          <w:b/>
          <w:bCs/>
          <w:sz w:val="32"/>
          <w:szCs w:val="32"/>
          <w:lang w:val="en-US" w:eastAsia="zh-CN"/>
        </w:rPr>
      </w:pPr>
      <w:bookmarkStart w:id="37" w:name="_Toc17108"/>
    </w:p>
    <w:p>
      <w:pPr>
        <w:numPr>
          <w:ilvl w:val="0"/>
          <w:numId w:val="0"/>
        </w:numPr>
        <w:ind w:leftChars="0"/>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9.综合分析</w:t>
      </w:r>
      <w:bookmarkEnd w:id="37"/>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Arial"/>
          <w:color w:val="4AC1DD"/>
          <w:sz w:val="230"/>
          <w:szCs w:val="24"/>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lang w:eastAsia="zh-CN"/>
        </w:rPr>
        <w:t>2022年第一季度</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bookmarkStart w:id="38" w:name="_GoBack"/>
      <w:bookmarkEnd w:id="38"/>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oNotHyphenateCaps/>
  <w:drawingGridHorizontalSpacing w:val="105"/>
  <w:drawingGridVerticalSpacing w:val="285"/>
  <w:displayHorizontalDrawingGridEvery w:val="1"/>
  <w:displayVerticalDrawingGridEvery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3C5849"/>
    <w:rsid w:val="0B6D1B6C"/>
    <w:rsid w:val="0CC56CA9"/>
    <w:rsid w:val="3B380AF6"/>
    <w:rsid w:val="456B524E"/>
    <w:rsid w:val="5BDB3ECE"/>
    <w:rsid w:val="78FA3A9C"/>
    <w:rsid w:val="79BF69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uiPriority="99" w:semiHidden="0"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39" w:semiHidden="0" w:name="Table Grid"/>
    <w:lsdException w:qFormat="1" w:unhideWhenUsed="0" w:uiPriority="99"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rPr>
  </w:style>
  <w:style w:type="character" w:default="1" w:styleId="9">
    <w:name w:val="Default Paragraph Font"/>
    <w:unhideWhenUsed/>
    <w:uiPriority w:val="99"/>
    <w:rPr>
      <w:rFonts w:hint="default"/>
      <w:sz w:val="24"/>
      <w:szCs w:val="24"/>
    </w:rPr>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1"/>
    <w:pPr>
      <w:ind w:left="20"/>
    </w:pPr>
    <w:rPr>
      <w:rFonts w:hint="eastAsia" w:ascii="微软雅黑" w:hAnsi="微软雅黑" w:eastAsia="微软雅黑"/>
      <w:sz w:val="41"/>
      <w:szCs w:val="24"/>
    </w:rPr>
  </w:style>
  <w:style w:type="paragraph" w:styleId="3">
    <w:name w:val="footer"/>
    <w:basedOn w:val="1"/>
    <w:link w:val="18"/>
    <w:unhideWhenUsed/>
    <w:uiPriority w:val="99"/>
    <w:pPr>
      <w:tabs>
        <w:tab w:val="center" w:pos="4153"/>
        <w:tab w:val="right" w:pos="8306"/>
      </w:tabs>
      <w:snapToGrid w:val="0"/>
      <w:spacing w:line="240" w:lineRule="atLeast"/>
      <w:jc w:val="left"/>
    </w:pPr>
    <w:rPr>
      <w:rFonts w:hint="eastAsia"/>
      <w:sz w:val="18"/>
      <w:szCs w:val="24"/>
    </w:rPr>
  </w:style>
  <w:style w:type="paragraph" w:styleId="4">
    <w:name w:val="header"/>
    <w:basedOn w:val="1"/>
    <w:link w:val="16"/>
    <w:unhideWhenUsed/>
    <w:uiPriority w:val="99"/>
    <w:pPr>
      <w:pBdr>
        <w:bottom w:val="single" w:color="auto" w:sz="6" w:space="1"/>
      </w:pBdr>
      <w:tabs>
        <w:tab w:val="center" w:pos="4153"/>
        <w:tab w:val="right" w:pos="8306"/>
      </w:tabs>
      <w:snapToGrid w:val="0"/>
      <w:spacing w:line="240" w:lineRule="atLeast"/>
      <w:jc w:val="center"/>
    </w:pPr>
    <w:rPr>
      <w:rFonts w:hint="eastAsia"/>
      <w:sz w:val="18"/>
      <w:szCs w:val="24"/>
    </w:rPr>
  </w:style>
  <w:style w:type="paragraph" w:styleId="5">
    <w:name w:val="toc 1"/>
    <w:basedOn w:val="1"/>
    <w:next w:val="1"/>
    <w:unhideWhenUsed/>
    <w:qFormat/>
    <w:uiPriority w:val="39"/>
    <w:rPr>
      <w:rFonts w:hint="eastAsia"/>
      <w:sz w:val="21"/>
      <w:szCs w:val="24"/>
    </w:rPr>
  </w:style>
  <w:style w:type="paragraph" w:styleId="6">
    <w:name w:val="toc 2"/>
    <w:basedOn w:val="1"/>
    <w:next w:val="1"/>
    <w:unhideWhenUsed/>
    <w:uiPriority w:val="0"/>
    <w:pPr>
      <w:ind w:left="420" w:leftChars="200"/>
    </w:pPr>
    <w:rPr>
      <w:rFonts w:hint="eastAsia"/>
      <w:sz w:val="21"/>
      <w:szCs w:val="24"/>
    </w:rPr>
  </w:style>
  <w:style w:type="paragraph" w:styleId="7">
    <w:name w:val="Normal (Web)"/>
    <w:basedOn w:val="1"/>
    <w:unhideWhenUsed/>
    <w:qFormat/>
    <w:uiPriority w:val="99"/>
    <w:pPr>
      <w:widowControl/>
      <w:spacing w:before="100" w:beforeAutospacing="1" w:after="100" w:afterAutospacing="1"/>
      <w:jc w:val="left"/>
    </w:pPr>
    <w:rPr>
      <w:rFonts w:hint="eastAsia" w:ascii="宋体" w:hAnsi="宋体"/>
      <w:sz w:val="24"/>
      <w:szCs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unhideWhenUsed/>
    <w:qFormat/>
    <w:uiPriority w:val="99"/>
    <w:rPr>
      <w:rFonts w:hint="default"/>
      <w:color w:val="0000FF"/>
      <w:sz w:val="24"/>
      <w:szCs w:val="24"/>
      <w:u w:val="single"/>
    </w:rPr>
  </w:style>
  <w:style w:type="paragraph" w:customStyle="1" w:styleId="12">
    <w:name w:val="WPSOffice手动目录 1"/>
    <w:unhideWhenUsed/>
    <w:uiPriority w:val="0"/>
    <w:pPr>
      <w:spacing w:beforeLines="0" w:afterLines="0"/>
    </w:pPr>
    <w:rPr>
      <w:rFonts w:hint="default" w:ascii="Times New Roman" w:hAnsi="Times New Roman" w:eastAsia="宋体" w:cs="Times New Roman"/>
      <w:sz w:val="20"/>
      <w:szCs w:val="24"/>
    </w:rPr>
  </w:style>
  <w:style w:type="paragraph" w:customStyle="1" w:styleId="13">
    <w:name w:val="WPSOffice手动目录 2"/>
    <w:unhideWhenUsed/>
    <w:uiPriority w:val="0"/>
    <w:pPr>
      <w:spacing w:beforeLines="0" w:afterLines="0"/>
      <w:ind w:leftChars="200"/>
    </w:pPr>
    <w:rPr>
      <w:rFonts w:hint="default" w:ascii="Times New Roman" w:hAnsi="Times New Roman" w:eastAsia="宋体" w:cs="Times New Roman"/>
      <w:sz w:val="20"/>
      <w:szCs w:val="24"/>
    </w:rPr>
  </w:style>
  <w:style w:type="paragraph" w:styleId="14">
    <w:name w:val="List Paragraph"/>
    <w:basedOn w:val="1"/>
    <w:unhideWhenUsed/>
    <w:qFormat/>
    <w:uiPriority w:val="34"/>
    <w:pPr>
      <w:ind w:firstLine="420" w:firstLineChars="200"/>
    </w:pPr>
    <w:rPr>
      <w:rFonts w:hint="eastAsia"/>
      <w:sz w:val="21"/>
      <w:szCs w:val="24"/>
    </w:rPr>
  </w:style>
  <w:style w:type="paragraph" w:styleId="15">
    <w:name w:val="No Spacing"/>
    <w:link w:val="17"/>
    <w:unhideWhenUsed/>
    <w:qFormat/>
    <w:uiPriority w:val="1"/>
    <w:rPr>
      <w:rFonts w:hint="eastAsia" w:ascii="等线" w:hAnsi="等线" w:eastAsia="等线" w:cs="Times New Roman"/>
      <w:sz w:val="22"/>
      <w:szCs w:val="24"/>
      <w:lang w:val="en-US" w:eastAsia="zh-CN"/>
    </w:rPr>
  </w:style>
  <w:style w:type="character" w:customStyle="1" w:styleId="16">
    <w:name w:val="页眉 字符"/>
    <w:basedOn w:val="9"/>
    <w:link w:val="4"/>
    <w:unhideWhenUsed/>
    <w:locked/>
    <w:uiPriority w:val="99"/>
    <w:rPr>
      <w:rFonts w:hint="eastAsia" w:ascii="Times New Roman" w:hAnsi="Times New Roman" w:eastAsia="宋体"/>
      <w:sz w:val="18"/>
      <w:szCs w:val="24"/>
    </w:rPr>
  </w:style>
  <w:style w:type="character" w:customStyle="1" w:styleId="17">
    <w:name w:val="无间隔 字符"/>
    <w:link w:val="15"/>
    <w:unhideWhenUsed/>
    <w:locked/>
    <w:uiPriority w:val="1"/>
    <w:rPr>
      <w:rFonts w:hint="default"/>
      <w:sz w:val="22"/>
      <w:szCs w:val="24"/>
    </w:rPr>
  </w:style>
  <w:style w:type="character" w:customStyle="1" w:styleId="18">
    <w:name w:val="页脚 字符"/>
    <w:basedOn w:val="9"/>
    <w:link w:val="3"/>
    <w:unhideWhenUsed/>
    <w:locked/>
    <w:uiPriority w:val="99"/>
    <w:rPr>
      <w:rFonts w:hint="eastAsia" w:ascii="Times New Roman" w:hAnsi="Times New Roman" w:eastAsia="宋体"/>
      <w:sz w:val="18"/>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2&#31532;&#19968;&#23395;&#24230;&#19987;&#21033;&#24773;&#20917;&#32479;&#35745;\CNKI-2022&#31532;&#19968;&#23395;&#24230;&#19987;&#21033;&#24635;&#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022&#31532;&#19968;&#23395;&#24230;&#19987;&#21033;&#24773;&#20917;&#32479;&#35745;\CNKI-2022&#31532;&#19968;&#23395;&#24230;&#19987;&#21033;&#24635;&#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2&#31532;&#19968;&#23395;&#24230;&#19987;&#21033;&#24773;&#20917;&#32479;&#35745;\CNKI-2022&#31532;&#19968;&#23395;&#24230;&#19987;&#21033;&#24635;&#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2&#31532;&#19968;&#23395;&#24230;&#19987;&#21033;&#24773;&#20917;&#32479;&#35745;\CNKI-2022&#31532;&#19968;&#23395;&#24230;&#19987;&#21033;&#24635;&#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2&#31532;&#19968;&#23395;&#24230;&#19987;&#21033;&#24773;&#20917;&#32479;&#35745;\CNKI-2022&#31532;&#19968;&#23395;&#24230;&#19987;&#21033;&#24635;&#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2&#31532;&#19968;&#23395;&#24230;&#19987;&#21033;&#24773;&#20917;&#32479;&#35745;\CNKI-2022&#31532;&#19968;&#23395;&#24230;&#19987;&#21033;&#24635;&#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22&#31532;&#19968;&#23395;&#24230;&#19987;&#21033;&#24773;&#20917;&#32479;&#35745;\CNKI-2022&#31532;&#19968;&#23395;&#24230;&#19987;&#21033;&#24635;&#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tx>
            <c:strRef>
              <c:f>'[CNKI-2022第一季度专利总表.xlsx]数量分析'!$B$1</c:f>
              <c:strCache>
                <c:ptCount val="1"/>
                <c:pt idx="0">
                  <c:v>专利数量</c:v>
                </c:pt>
              </c:strCache>
            </c:strRef>
          </c:tx>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'[CNKI-2022第一季度专利总表.xlsx]数量分析'!$A$2:$A$4</c:f>
              <c:numCache>
                <c:formatCode>yyyy"年"m"月"</c:formatCode>
                <c:ptCount val="3"/>
                <c:pt idx="0" c:formatCode="yyyy&quot;年&quot;m&quot;月&quot;">
                  <c:v>44562</c:v>
                </c:pt>
                <c:pt idx="1" c:formatCode="yyyy&quot;年&quot;m&quot;月&quot;">
                  <c:v>44593</c:v>
                </c:pt>
                <c:pt idx="2" c:formatCode="yyyy&quot;年&quot;m&quot;月&quot;">
                  <c:v>44621</c:v>
                </c:pt>
              </c:numCache>
            </c:numRef>
          </c:cat>
          <c:val>
            <c:numRef>
              <c:f>'[CNKI-2022第一季度专利总表.xlsx]数量分析'!$B$2:$B$4</c:f>
              <c:numCache>
                <c:formatCode>General</c:formatCode>
                <c:ptCount val="3"/>
                <c:pt idx="0">
                  <c:v>10</c:v>
                </c:pt>
                <c:pt idx="1">
                  <c:v>18</c:v>
                </c:pt>
                <c:pt idx="2">
                  <c:v>22</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669209994"/>
        <c:axId val="93164445"/>
      </c:lineChart>
      <c:dateAx>
        <c:axId val="669209994"/>
        <c:scaling>
          <c:orientation val="minMax"/>
        </c:scaling>
        <c:delete val="0"/>
        <c:axPos val="b"/>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93164445"/>
        <c:crosses val="autoZero"/>
        <c:auto val="1"/>
        <c:lblOffset val="100"/>
        <c:baseTimeUnit val="months"/>
      </c:dateAx>
      <c:valAx>
        <c:axId val="9316444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66920999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manualLayout>
          <c:xMode val="edge"/>
          <c:yMode val="edge"/>
          <c:x val="0.414444444444444"/>
          <c:y val="0.0243055555555556"/>
        </c:manualLayout>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'[CNKI-2022第一季度专利总表.xlsx]专利类别'!$C$2:$C$5</c:f>
              <c:strCache>
                <c:ptCount val="4"/>
                <c:pt idx="0">
                  <c:v>发明公开</c:v>
                </c:pt>
                <c:pt idx="1">
                  <c:v>发明授权</c:v>
                </c:pt>
                <c:pt idx="2">
                  <c:v>实用新型</c:v>
                </c:pt>
                <c:pt idx="3">
                  <c:v>外观设计</c:v>
                </c:pt>
              </c:strCache>
            </c:strRef>
          </c:cat>
          <c:val>
            <c:numRef>
              <c:f>'[CNKI-2022第一季度专利总表.xlsx]专利类别'!$D$2:$D$5</c:f>
              <c:numCache>
                <c:formatCode>@</c:formatCode>
                <c:ptCount val="4"/>
                <c:pt idx="0">
                  <c:v>29</c:v>
                </c:pt>
                <c:pt idx="1">
                  <c:v>8</c:v>
                </c:pt>
                <c:pt idx="2">
                  <c:v>11</c:v>
                </c:pt>
                <c:pt idx="3">
                  <c:v>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'[CNKI-2022第一季度专利总表.xlsx]学科'!$E$2:$E$20</c:f>
              <c:strCache>
                <c:ptCount val="19"/>
                <c:pt idx="0">
                  <c:v>轻工业手工业</c:v>
                </c:pt>
                <c:pt idx="1">
                  <c:v>园艺</c:v>
                </c:pt>
                <c:pt idx="2">
                  <c:v>电力工业</c:v>
                </c:pt>
                <c:pt idx="3">
                  <c:v>农艺学</c:v>
                </c:pt>
                <c:pt idx="4">
                  <c:v>林业</c:v>
                </c:pt>
                <c:pt idx="5">
                  <c:v>材料科学</c:v>
                </c:pt>
                <c:pt idx="6">
                  <c:v>植物保护</c:v>
                </c:pt>
                <c:pt idx="7">
                  <c:v>计算机软件及计算机技术</c:v>
                </c:pt>
                <c:pt idx="8">
                  <c:v>化学</c:v>
                </c:pt>
                <c:pt idx="9">
                  <c:v>计算机硬件技术</c:v>
                </c:pt>
                <c:pt idx="10">
                  <c:v>畜牧与动物医学</c:v>
                </c:pt>
                <c:pt idx="11">
                  <c:v>有机化工</c:v>
                </c:pt>
                <c:pt idx="12">
                  <c:v>农业工程</c:v>
                </c:pt>
                <c:pt idx="13">
                  <c:v>无线电电子学</c:v>
                </c:pt>
                <c:pt idx="14">
                  <c:v>生物学</c:v>
                </c:pt>
                <c:pt idx="15">
                  <c:v>一般化学工业</c:v>
                </c:pt>
                <c:pt idx="16">
                  <c:v>无机化学</c:v>
                </c:pt>
                <c:pt idx="17">
                  <c:v>金属学及金属工艺</c:v>
                </c:pt>
                <c:pt idx="18">
                  <c:v>蚕蜂与野生动物保护</c:v>
                </c:pt>
              </c:strCache>
            </c:strRef>
          </c:cat>
          <c:val>
            <c:numRef>
              <c:f>'[CNKI-2022第一季度专利总表.xlsx]学科'!$F$2:$F$20</c:f>
              <c:numCache>
                <c:formatCode>General</c:formatCode>
                <c:ptCount val="19"/>
                <c:pt idx="0">
                  <c:v>12</c:v>
                </c:pt>
                <c:pt idx="1">
                  <c:v>6</c:v>
                </c:pt>
                <c:pt idx="2">
                  <c:v>4</c:v>
                </c:pt>
                <c:pt idx="3">
                  <c:v>4</c:v>
                </c:pt>
                <c:pt idx="4">
                  <c:v>3</c:v>
                </c:pt>
                <c:pt idx="5">
                  <c:v>3</c:v>
                </c:pt>
                <c:pt idx="6">
                  <c:v>2</c:v>
                </c:pt>
                <c:pt idx="7">
                  <c:v>2</c:v>
                </c:pt>
                <c:pt idx="8">
                  <c:v>2</c:v>
                </c:pt>
                <c:pt idx="9">
                  <c:v>2</c:v>
                </c:pt>
                <c:pt idx="10">
                  <c:v>2</c:v>
                </c:pt>
                <c:pt idx="11">
                  <c:v>2</c:v>
                </c:pt>
                <c:pt idx="12">
                  <c:v>2</c:v>
                </c:pt>
                <c:pt idx="13">
                  <c:v>2</c:v>
                </c:pt>
                <c:pt idx="14">
                  <c:v>2</c:v>
                </c:pt>
                <c:pt idx="15">
                  <c:v>1</c:v>
                </c:pt>
                <c:pt idx="16">
                  <c:v>1</c:v>
                </c:pt>
                <c:pt idx="17">
                  <c:v>1</c:v>
                </c:pt>
                <c:pt idx="18">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'[CNKI-2022第一季度专利总表.xlsx]主题'!$E$2:$E$20</c:f>
              <c:strCache>
                <c:ptCount val="19"/>
                <c:pt idx="0">
                  <c:v>制备方法</c:v>
                </c:pt>
                <c:pt idx="1">
                  <c:v>氧化石墨烯</c:v>
                </c:pt>
                <c:pt idx="2">
                  <c:v>植株再生</c:v>
                </c:pt>
                <c:pt idx="3">
                  <c:v>复合材料</c:v>
                </c:pt>
                <c:pt idx="4">
                  <c:v>体细胞胚诱导</c:v>
                </c:pt>
                <c:pt idx="5">
                  <c:v>外观设计</c:v>
                </c:pt>
                <c:pt idx="6">
                  <c:v>氧化石固定化酶</c:v>
                </c:pt>
                <c:pt idx="7">
                  <c:v>方法及应用</c:v>
                </c:pt>
                <c:pt idx="8">
                  <c:v>壳聚糖</c:v>
                </c:pt>
                <c:pt idx="9">
                  <c:v>黑水虻</c:v>
                </c:pt>
                <c:pt idx="10">
                  <c:v>板栗黄化皱缩病</c:v>
                </c:pt>
                <c:pt idx="11">
                  <c:v>经济学教学</c:v>
                </c:pt>
                <c:pt idx="12">
                  <c:v>炭复合材料</c:v>
                </c:pt>
                <c:pt idx="13">
                  <c:v>体细胞胚</c:v>
                </c:pt>
                <c:pt idx="14">
                  <c:v>石墨烯复合材料</c:v>
                </c:pt>
                <c:pt idx="15">
                  <c:v>栽培方法</c:v>
                </c:pt>
                <c:pt idx="16">
                  <c:v>悬浮剂</c:v>
                </c:pt>
                <c:pt idx="17">
                  <c:v>中草药</c:v>
                </c:pt>
                <c:pt idx="18">
                  <c:v>太阳电池组件</c:v>
                </c:pt>
              </c:strCache>
            </c:strRef>
          </c:cat>
          <c:val>
            <c:numRef>
              <c:f>'[CNKI-2022第一季度专利总表.xlsx]主题'!$F$2:$F$20</c:f>
              <c:numCache>
                <c:formatCode>General</c:formatCode>
                <c:ptCount val="19"/>
                <c:pt idx="0">
                  <c:v>12</c:v>
                </c:pt>
                <c:pt idx="1">
                  <c:v>3</c:v>
                </c:pt>
                <c:pt idx="2">
                  <c:v>3</c:v>
                </c:pt>
                <c:pt idx="3">
                  <c:v>3</c:v>
                </c:pt>
                <c:pt idx="4">
                  <c:v>3</c:v>
                </c:pt>
                <c:pt idx="5">
                  <c:v>2</c:v>
                </c:pt>
                <c:pt idx="6">
                  <c:v>2</c:v>
                </c:pt>
                <c:pt idx="7">
                  <c:v>2</c:v>
                </c:pt>
                <c:pt idx="8">
                  <c:v>2</c:v>
                </c:pt>
                <c:pt idx="9">
                  <c:v>2</c:v>
                </c:pt>
                <c:pt idx="10">
                  <c:v>1</c:v>
                </c:pt>
                <c:pt idx="11">
                  <c:v>1</c:v>
                </c:pt>
                <c:pt idx="12">
                  <c:v>1</c:v>
                </c:pt>
                <c:pt idx="13">
                  <c:v>1</c:v>
                </c:pt>
                <c:pt idx="14">
                  <c:v>1</c:v>
                </c:pt>
                <c:pt idx="15">
                  <c:v>1</c:v>
                </c:pt>
                <c:pt idx="16">
                  <c:v>1</c:v>
                </c:pt>
                <c:pt idx="17">
                  <c:v>1</c:v>
                </c:pt>
                <c:pt idx="18">
                  <c:v>1</c:v>
                </c:pt>
              </c:numCache>
            </c:numRef>
          </c:val>
        </c:ser>
        <c:dLbls>
          <c:showLegendKey val="0"/>
          <c:showVal val="1"/>
          <c:showCatName val="0"/>
          <c:showSerName val="0"/>
          <c:showPercent val="0"/>
          <c:showBubbleSize val="0"/>
        </c:dLbls>
        <c:gapWidth val="219"/>
        <c:overlap val="-27"/>
        <c:axId val="706654545"/>
        <c:axId val="921375284"/>
      </c:barChart>
      <c:catAx>
        <c:axId val="70665454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1375284"/>
        <c:crosses val="autoZero"/>
        <c:auto val="1"/>
        <c:lblAlgn val="ctr"/>
        <c:lblOffset val="100"/>
        <c:noMultiLvlLbl val="0"/>
      </c:catAx>
      <c:valAx>
        <c:axId val="9213752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665454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'[CNKI-2022第一季度专利总表.xlsx]主题'!$M$2:$M$20</c:f>
              <c:strCache>
                <c:ptCount val="19"/>
                <c:pt idx="0">
                  <c:v>固定连接</c:v>
                </c:pt>
                <c:pt idx="1">
                  <c:v>甘薯渣</c:v>
                </c:pt>
                <c:pt idx="2">
                  <c:v>控制器</c:v>
                </c:pt>
                <c:pt idx="3">
                  <c:v>出口料</c:v>
                </c:pt>
                <c:pt idx="4">
                  <c:v>外植体</c:v>
                </c:pt>
                <c:pt idx="5">
                  <c:v>从动齿轮</c:v>
                </c:pt>
                <c:pt idx="6">
                  <c:v>玉米粉</c:v>
                </c:pt>
                <c:pt idx="7">
                  <c:v>主动齿轮</c:v>
                </c:pt>
                <c:pt idx="8">
                  <c:v>十七烯</c:v>
                </c:pt>
                <c:pt idx="9">
                  <c:v>动力装置</c:v>
                </c:pt>
                <c:pt idx="10">
                  <c:v>板栗品种</c:v>
                </c:pt>
                <c:pt idx="11">
                  <c:v>生长状况</c:v>
                </c:pt>
                <c:pt idx="12">
                  <c:v>加湿器</c:v>
                </c:pt>
                <c:pt idx="13">
                  <c:v>纳米化</c:v>
                </c:pt>
                <c:pt idx="14">
                  <c:v>反演模型</c:v>
                </c:pt>
                <c:pt idx="15">
                  <c:v>伸缩气缸</c:v>
                </c:pt>
                <c:pt idx="16">
                  <c:v>固定机构</c:v>
                </c:pt>
                <c:pt idx="17">
                  <c:v>支撑机构</c:v>
                </c:pt>
                <c:pt idx="18">
                  <c:v>模拟沙盘</c:v>
                </c:pt>
              </c:strCache>
            </c:strRef>
          </c:cat>
          <c:val>
            <c:numRef>
              <c:f>'[CNKI-2022第一季度专利总表.xlsx]主题'!$N$2:$N$20</c:f>
              <c:numCache>
                <c:formatCode>General</c:formatCode>
                <c:ptCount val="19"/>
                <c:pt idx="0">
                  <c:v>4</c:v>
                </c:pt>
                <c:pt idx="1">
                  <c:v>2</c:v>
                </c:pt>
                <c:pt idx="2">
                  <c:v>2</c:v>
                </c:pt>
                <c:pt idx="3">
                  <c:v>2</c:v>
                </c:pt>
                <c:pt idx="4">
                  <c:v>2</c:v>
                </c:pt>
                <c:pt idx="5">
                  <c:v>2</c:v>
                </c:pt>
                <c:pt idx="6">
                  <c:v>2</c:v>
                </c:pt>
                <c:pt idx="7">
                  <c:v>2</c:v>
                </c:pt>
                <c:pt idx="8">
                  <c:v>1</c:v>
                </c:pt>
                <c:pt idx="9">
                  <c:v>1</c:v>
                </c:pt>
                <c:pt idx="10">
                  <c:v>1</c:v>
                </c:pt>
                <c:pt idx="11">
                  <c:v>1</c:v>
                </c:pt>
                <c:pt idx="12">
                  <c:v>1</c:v>
                </c:pt>
                <c:pt idx="13">
                  <c:v>1</c:v>
                </c:pt>
                <c:pt idx="14">
                  <c:v>1</c:v>
                </c:pt>
                <c:pt idx="15">
                  <c:v>1</c:v>
                </c:pt>
                <c:pt idx="16">
                  <c:v>1</c:v>
                </c:pt>
                <c:pt idx="17">
                  <c:v>1</c:v>
                </c:pt>
                <c:pt idx="18">
                  <c:v>1</c:v>
                </c:pt>
              </c:numCache>
            </c:numRef>
          </c:val>
        </c:ser>
        <c:dLbls>
          <c:showLegendKey val="0"/>
          <c:showVal val="1"/>
          <c:showCatName val="0"/>
          <c:showSerName val="0"/>
          <c:showPercent val="0"/>
          <c:showBubbleSize val="0"/>
        </c:dLbls>
        <c:gapWidth val="219"/>
        <c:overlap val="-27"/>
        <c:axId val="499248369"/>
        <c:axId val="519624979"/>
      </c:barChart>
      <c:catAx>
        <c:axId val="49924836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9624979"/>
        <c:crosses val="autoZero"/>
        <c:auto val="1"/>
        <c:lblAlgn val="ctr"/>
        <c:lblOffset val="100"/>
        <c:noMultiLvlLbl val="0"/>
      </c:catAx>
      <c:valAx>
        <c:axId val="5196249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924836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技术领域与产业构成分布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'[CNKI-2022第一季度专利总表.xlsx]IPC'!$C$3:$C$15</c:f>
              <c:strCache>
                <c:ptCount val="13"/>
                <c:pt idx="0">
                  <c:v>A01</c:v>
                </c:pt>
                <c:pt idx="1">
                  <c:v>C12</c:v>
                </c:pt>
                <c:pt idx="2">
                  <c:v>H01</c:v>
                </c:pt>
                <c:pt idx="3">
                  <c:v>G06</c:v>
                </c:pt>
                <c:pt idx="4">
                  <c:v>A23</c:v>
                </c:pt>
                <c:pt idx="5">
                  <c:v>G01</c:v>
                </c:pt>
                <c:pt idx="6">
                  <c:v>A47</c:v>
                </c:pt>
                <c:pt idx="7">
                  <c:v>B01</c:v>
                </c:pt>
                <c:pt idx="8">
                  <c:v>B24</c:v>
                </c:pt>
                <c:pt idx="9">
                  <c:v>B65</c:v>
                </c:pt>
                <c:pt idx="10">
                  <c:v>C01</c:v>
                </c:pt>
                <c:pt idx="11">
                  <c:v>E03</c:v>
                </c:pt>
                <c:pt idx="12">
                  <c:v>G09</c:v>
                </c:pt>
              </c:strCache>
            </c:strRef>
          </c:cat>
          <c:val>
            <c:numRef>
              <c:f>'[CNKI-2022第一季度专利总表.xlsx]IPC'!$D$3:$D$15</c:f>
              <c:numCache>
                <c:formatCode>General</c:formatCode>
                <c:ptCount val="13"/>
                <c:pt idx="0">
                  <c:v>17</c:v>
                </c:pt>
                <c:pt idx="1">
                  <c:v>7</c:v>
                </c:pt>
                <c:pt idx="2">
                  <c:v>6</c:v>
                </c:pt>
                <c:pt idx="3">
                  <c:v>5</c:v>
                </c:pt>
                <c:pt idx="4">
                  <c:v>4</c:v>
                </c:pt>
                <c:pt idx="5">
                  <c:v>3</c:v>
                </c:pt>
                <c:pt idx="6">
                  <c:v>1</c:v>
                </c:pt>
                <c:pt idx="7">
                  <c:v>1</c:v>
                </c:pt>
                <c:pt idx="8">
                  <c:v>1</c:v>
                </c:pt>
                <c:pt idx="9">
                  <c:v>1</c:v>
                </c:pt>
                <c:pt idx="10">
                  <c:v>1</c:v>
                </c:pt>
                <c:pt idx="11">
                  <c:v>1</c:v>
                </c:pt>
                <c:pt idx="1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'[CNKI-2022第一季度专利总表.xlsx]申请机构'!$D$1:$D$2</c:f>
              <c:strCache>
                <c:ptCount val="2"/>
                <c:pt idx="0">
                  <c:v>河北科技师范学院</c:v>
                </c:pt>
                <c:pt idx="1">
                  <c:v>河北科技师范学院+其他机构</c:v>
                </c:pt>
              </c:strCache>
            </c:strRef>
          </c:cat>
          <c:val>
            <c:numRef>
              <c:f>'[CNKI-2022第一季度专利总表.xlsx]申请机构'!$E$1:$E$2</c:f>
              <c:numCache>
                <c:formatCode>General</c:formatCode>
                <c:ptCount val="2"/>
                <c:pt idx="0">
                  <c:v>44</c:v>
                </c:pt>
                <c:pt idx="1">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1844</Words>
  <Characters>2063</Characters>
  <TotalTime>2</TotalTime>
  <ScaleCrop>false</ScaleCrop>
  <LinksUpToDate>false</LinksUpToDate>
  <CharactersWithSpaces>2094</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ym</cp:lastModifiedBy>
  <dcterms:modified xsi:type="dcterms:W3CDTF">2023-04-12T01:51:26Z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55800B5F88B5493DA75F3E47F422650E_13</vt:lpwstr>
  </property>
</Properties>
</file>