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rPr>
          <w:rFonts w:hint="eastAsia" w:ascii="微软雅黑" w:hAnsi="微软雅黑" w:eastAsia="微软雅黑"/>
          <w:sz w:val="28"/>
          <w:szCs w:val="24"/>
          <w:u w:val="single"/>
        </w:rPr>
        <w:sectPr>
          <w:pgSz w:w="11906" w:h="16838"/>
          <w:pgMar w:top="1440" w:right="1080" w:bottom="1440" w:left="1080" w:header="1134" w:footer="794" w:gutter="0"/>
          <w:pgBorders>
            <w:top w:val="none" w:sz="0" w:space="0"/>
            <w:left w:val="none" w:sz="0" w:space="0"/>
            <w:bottom w:val="none" w:sz="0" w:space="0"/>
            <w:right w:val="none" w:sz="0" w:space="0"/>
          </w:pgBorders>
          <w:lnNumType w:countBy="0" w:distance="360"/>
          <w:cols w:space="720" w:num="1"/>
          <w:titlePg/>
          <w:docGrid w:linePitch="286" w:charSpace="0"/>
        </w:sect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7</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7</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2022年第二季度专利统计分析报告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2022年第二季度专利统计分析报告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5"/>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pPr>
                        <w:pStyle w:val="15"/>
                        <w:spacing w:before="40" w:after="560" w:line="216" w:lineRule="auto"/>
                        <w:rPr>
                          <w:rFonts w:hint="eastAsia" w:ascii="微软雅黑" w:hAnsi="微软雅黑" w:eastAsia="微软雅黑"/>
                          <w:color w:val="000000"/>
                          <w:sz w:val="48"/>
                          <w:szCs w:val="24"/>
                        </w:rPr>
                      </w:pPr>
                    </w:p>
                  </w:txbxContent>
                </v:textbox>
              </v:shape>
            </w:pict>
          </mc:Fallback>
        </mc:AlternateContent>
      </w:r>
    </w:p>
    <w:p>
      <w:pPr>
        <w:spacing w:line="480" w:lineRule="auto"/>
        <w:outlineLvl w:val="0"/>
        <w:rPr>
          <w:rFonts w:hint="eastAsia" w:ascii="仿宋" w:hAnsi="仿宋" w:eastAsia="仿宋" w:cs="仿宋"/>
          <w:sz w:val="28"/>
          <w:szCs w:val="28"/>
        </w:rPr>
      </w:pPr>
      <w:r>
        <w:rPr>
          <w:rFonts w:hint="eastAsia" w:ascii="仿宋" w:hAnsi="仿宋" w:eastAsia="仿宋" w:cs="仿宋"/>
          <w:b/>
          <w:bCs/>
          <w:sz w:val="28"/>
          <w:szCs w:val="28"/>
        </w:rPr>
        <w:t>数据来源</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22</w:t>
      </w:r>
      <w:r>
        <w:rPr>
          <w:rFonts w:hint="eastAsia" w:ascii="仿宋" w:hAnsi="仿宋" w:eastAsia="仿宋" w:cs="仿宋"/>
          <w:sz w:val="28"/>
          <w:szCs w:val="28"/>
        </w:rPr>
        <w:t>年</w:t>
      </w:r>
      <w:r>
        <w:rPr>
          <w:rFonts w:hint="eastAsia" w:ascii="仿宋" w:hAnsi="仿宋" w:eastAsia="仿宋" w:cs="仿宋"/>
          <w:sz w:val="28"/>
          <w:szCs w:val="28"/>
          <w:lang w:val="en-US" w:eastAsia="zh-CN"/>
        </w:rPr>
        <w:t>7</w:t>
      </w:r>
      <w:r>
        <w:rPr>
          <w:rFonts w:hint="eastAsia" w:ascii="仿宋" w:hAnsi="仿宋" w:eastAsia="仿宋" w:cs="仿宋"/>
          <w:sz w:val="28"/>
          <w:szCs w:val="28"/>
        </w:rPr>
        <w:t>月</w:t>
      </w:r>
      <w:r>
        <w:rPr>
          <w:rFonts w:hint="eastAsia" w:ascii="仿宋" w:hAnsi="仿宋" w:eastAsia="仿宋" w:cs="仿宋"/>
          <w:sz w:val="28"/>
          <w:szCs w:val="28"/>
          <w:lang w:val="en-US" w:eastAsia="zh-CN"/>
        </w:rPr>
        <w:t>19</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22</w:t>
      </w:r>
      <w:r>
        <w:rPr>
          <w:rFonts w:hint="eastAsia" w:ascii="仿宋" w:hAnsi="仿宋" w:eastAsia="仿宋" w:cs="仿宋"/>
          <w:sz w:val="28"/>
          <w:szCs w:val="28"/>
        </w:rPr>
        <w:t>年</w:t>
      </w:r>
      <w:r>
        <w:rPr>
          <w:rFonts w:hint="eastAsia" w:ascii="仿宋" w:hAnsi="仿宋" w:eastAsia="仿宋" w:cs="仿宋"/>
          <w:sz w:val="28"/>
          <w:szCs w:val="28"/>
          <w:lang w:val="en-US" w:eastAsia="zh-CN"/>
        </w:rPr>
        <w:t>7</w:t>
      </w:r>
      <w:r>
        <w:rPr>
          <w:rFonts w:hint="eastAsia" w:ascii="仿宋" w:hAnsi="仿宋" w:eastAsia="仿宋" w:cs="仿宋"/>
          <w:sz w:val="28"/>
          <w:szCs w:val="28"/>
        </w:rPr>
        <w:t>月</w:t>
      </w:r>
      <w:r>
        <w:rPr>
          <w:rFonts w:hint="eastAsia" w:ascii="仿宋" w:hAnsi="仿宋" w:eastAsia="仿宋" w:cs="仿宋"/>
          <w:sz w:val="28"/>
          <w:szCs w:val="28"/>
          <w:lang w:val="en-US" w:eastAsia="zh-CN"/>
        </w:rPr>
        <w:t>23</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bookmarkStart w:id="0" w:name="_Toc9874"/>
      <w:bookmarkStart w:id="1" w:name="_Toc5625"/>
      <w:bookmarkStart w:id="2" w:name="_Toc20858"/>
      <w:bookmarkStart w:id="3" w:name="_Toc9203"/>
      <w:bookmarkStart w:id="4" w:name="_Toc31217"/>
      <w:r>
        <w:rPr>
          <w:rFonts w:hint="eastAsia" w:ascii="仿宋" w:hAnsi="仿宋" w:eastAsia="仿宋" w:cs="仿宋"/>
          <w:b/>
          <w:bCs/>
          <w:sz w:val="28"/>
          <w:szCs w:val="28"/>
        </w:rPr>
        <w:t>数据处理</w:t>
      </w:r>
      <w:bookmarkEnd w:id="0"/>
      <w:bookmarkEnd w:id="1"/>
      <w:bookmarkEnd w:id="2"/>
      <w:bookmarkEnd w:id="3"/>
      <w:bookmarkEnd w:id="4"/>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bookmarkStart w:id="5" w:name="_Toc3908"/>
      <w:bookmarkStart w:id="6" w:name="_Toc29516"/>
      <w:bookmarkStart w:id="7" w:name="_Toc11709"/>
      <w:bookmarkStart w:id="8" w:name="_Toc17869"/>
      <w:bookmarkStart w:id="9" w:name="_Toc25482"/>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bookmarkEnd w:id="5"/>
      <w:bookmarkEnd w:id="6"/>
      <w:bookmarkEnd w:id="7"/>
      <w:bookmarkEnd w:id="8"/>
      <w:bookmarkEnd w:id="9"/>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bookmarkStart w:id="10" w:name="_Toc27907"/>
      <w:bookmarkStart w:id="11" w:name="_Toc6044"/>
      <w:bookmarkStart w:id="12" w:name="_Toc10280"/>
      <w:bookmarkStart w:id="13" w:name="_Toc5698"/>
      <w:bookmarkStart w:id="14" w:name="_Toc2529"/>
      <w:r>
        <w:rPr>
          <w:rFonts w:hint="eastAsia" w:ascii="仿宋" w:hAnsi="仿宋" w:eastAsia="仿宋" w:cs="仿宋"/>
          <w:b/>
          <w:bCs/>
          <w:sz w:val="28"/>
          <w:szCs w:val="28"/>
        </w:rPr>
        <w:t>数据处理</w:t>
      </w:r>
      <w:r>
        <w:rPr>
          <w:rFonts w:hint="eastAsia" w:ascii="仿宋" w:hAnsi="仿宋" w:eastAsia="仿宋" w:cs="仿宋"/>
          <w:sz w:val="28"/>
          <w:szCs w:val="28"/>
        </w:rPr>
        <w:t>：闫  明</w:t>
      </w:r>
      <w:bookmarkEnd w:id="10"/>
      <w:bookmarkEnd w:id="11"/>
      <w:bookmarkEnd w:id="12"/>
      <w:bookmarkEnd w:id="13"/>
      <w:bookmarkEnd w:id="14"/>
    </w:p>
    <w:p>
      <w:pPr>
        <w:spacing w:line="480" w:lineRule="auto"/>
        <w:ind w:left="360"/>
        <w:jc w:val="left"/>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default" w:ascii="仿宋" w:hAnsi="仿宋" w:eastAsia="仿宋" w:cs="仿宋"/>
          <w:sz w:val="28"/>
          <w:szCs w:val="28"/>
          <w:lang w:val="en-US" w:eastAsia="zh-CN"/>
        </w:rPr>
      </w:pPr>
    </w:p>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b/>
          <w:bCs/>
          <w:kern w:val="2"/>
          <w:sz w:val="44"/>
          <w:szCs w:val="44"/>
          <w:lang w:val="en-US" w:eastAsia="zh-CN" w:bidi="ar-SA"/>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目录</w:t>
          </w:r>
        </w:p>
        <w:p>
          <w:pPr>
            <w:pStyle w:val="12"/>
            <w:tabs>
              <w:tab w:val="right" w:leader="dot" w:pos="8306"/>
            </w:tabs>
            <w:rPr>
              <w:b/>
            </w:rPr>
          </w:pPr>
          <w:r>
            <w:fldChar w:fldCharType="begin"/>
          </w:r>
          <w:r>
            <w:instrText xml:space="preserve">TOC \o "1-2" \h \u </w:instrText>
          </w:r>
          <w:r>
            <w:fldChar w:fldCharType="separate"/>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_Toc9885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1.专利数量分析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_Toc9885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_Toc6255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2.专利类别分析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_Toc6255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_Toc12539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3.学科分析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_Toc12539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5</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_Toc18240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4.主题词分析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_Toc18240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_Toc9952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5.发明人分析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_Toc9952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_Toc6690 </w:instrText>
          </w:r>
          <w:r>
            <w:rPr>
              <w:rFonts w:hint="eastAsia" w:ascii="宋体" w:hAnsi="宋体" w:eastAsia="宋体" w:cs="宋体"/>
              <w:b w:val="0"/>
              <w:bCs/>
              <w:sz w:val="24"/>
              <w:szCs w:val="24"/>
            </w:rPr>
            <w:fldChar w:fldCharType="separate"/>
          </w:r>
          <w:r>
            <w:rPr>
              <w:rFonts w:hint="eastAsia" w:ascii="宋体" w:hAnsi="宋体" w:eastAsia="宋体" w:cs="宋体"/>
              <w:b w:val="0"/>
              <w:bCs/>
              <w:kern w:val="2"/>
              <w:sz w:val="24"/>
              <w:szCs w:val="24"/>
              <w:lang w:val="en-US" w:eastAsia="zh-CN" w:bidi="ar-SA"/>
            </w:rPr>
            <w:t>6.技术领域与产业构成分析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_Toc6690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8</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_Toc23978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7.申请机构分析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_Toc23978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9</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8.代理机构分析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9</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spacing w:line="480" w:lineRule="auto"/>
            <w:rPr>
              <w:b/>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_Toc17108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9.综合分析</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_Toc17108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10</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2"/>
            <w:tabs>
              <w:tab w:val="right" w:leader="dot" w:pos="8306"/>
            </w:tabs>
            <w:rPr>
              <w:b/>
            </w:rPr>
          </w:pPr>
        </w:p>
        <w:p>
          <w:r>
            <w:rPr>
              <w:b/>
            </w:rPr>
            <w:fldChar w:fldCharType="end"/>
          </w:r>
        </w:p>
      </w:sdtContent>
    </w:sdt>
    <w:p>
      <w:pPr>
        <w:jc w:val="center"/>
        <w:outlineLvl w:val="0"/>
        <w:rPr>
          <w:rFonts w:hint="eastAsia" w:ascii="黑体" w:hAnsi="黑体" w:eastAsia="黑体" w:cs="黑体"/>
          <w:b/>
          <w:bCs/>
          <w:sz w:val="44"/>
          <w:szCs w:val="44"/>
          <w:lang w:val="en-US" w:eastAsia="zh-CN"/>
        </w:rPr>
      </w:pPr>
      <w:bookmarkStart w:id="15" w:name="_Toc32336"/>
      <w:bookmarkStart w:id="16" w:name="_Toc30326"/>
      <w:bookmarkStart w:id="17" w:name="_Toc10613"/>
      <w:bookmarkStart w:id="18" w:name="_Toc10728"/>
      <w:bookmarkStart w:id="19" w:name="_Toc10867"/>
      <w:bookmarkStart w:id="20" w:name="_Toc23538"/>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both"/>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p>
    <w:p>
      <w:pPr>
        <w:jc w:val="center"/>
        <w:outlineLvl w:val="0"/>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河北科技师范学院</w:t>
      </w:r>
      <w:bookmarkEnd w:id="15"/>
      <w:bookmarkEnd w:id="16"/>
      <w:bookmarkEnd w:id="17"/>
      <w:bookmarkEnd w:id="18"/>
      <w:bookmarkEnd w:id="19"/>
      <w:bookmarkEnd w:id="20"/>
    </w:p>
    <w:p>
      <w:pPr>
        <w:jc w:val="center"/>
        <w:outlineLvl w:val="0"/>
        <w:rPr>
          <w:rFonts w:hint="eastAsia" w:ascii="黑体" w:hAnsi="黑体" w:eastAsia="黑体" w:cs="黑体"/>
          <w:b/>
          <w:bCs/>
          <w:sz w:val="44"/>
          <w:szCs w:val="44"/>
          <w:lang w:val="en-US" w:eastAsia="zh-CN"/>
        </w:rPr>
      </w:pPr>
      <w:bookmarkStart w:id="21" w:name="_Toc23731"/>
      <w:bookmarkStart w:id="22" w:name="_Toc8609"/>
      <w:bookmarkStart w:id="23" w:name="_Toc29920"/>
      <w:bookmarkStart w:id="24" w:name="_Toc23894"/>
      <w:bookmarkStart w:id="25" w:name="_Toc9198"/>
      <w:bookmarkStart w:id="26" w:name="_Toc18557"/>
      <w:r>
        <w:rPr>
          <w:rFonts w:hint="eastAsia" w:ascii="黑体" w:hAnsi="黑体" w:eastAsia="黑体" w:cs="黑体"/>
          <w:b/>
          <w:bCs/>
          <w:sz w:val="44"/>
          <w:szCs w:val="44"/>
          <w:lang w:val="en-US" w:eastAsia="zh-CN"/>
        </w:rPr>
        <w:t>2022年第二季度专利情况统计分析报告</w:t>
      </w:r>
      <w:bookmarkEnd w:id="21"/>
      <w:bookmarkEnd w:id="22"/>
      <w:bookmarkEnd w:id="23"/>
      <w:bookmarkEnd w:id="24"/>
      <w:bookmarkEnd w:id="25"/>
      <w:bookmarkEnd w:id="26"/>
    </w:p>
    <w:p>
      <w:pPr>
        <w:numPr>
          <w:ilvl w:val="0"/>
          <w:numId w:val="0"/>
        </w:numPr>
        <w:jc w:val="both"/>
        <w:outlineLvl w:val="9"/>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27" w:name="_Toc9885"/>
      <w:r>
        <w:rPr>
          <w:rFonts w:hint="eastAsia" w:ascii="黑体" w:hAnsi="黑体" w:eastAsia="黑体" w:cs="黑体"/>
          <w:b/>
          <w:bCs/>
          <w:sz w:val="32"/>
          <w:szCs w:val="32"/>
          <w:lang w:val="en-US" w:eastAsia="zh-CN"/>
        </w:rPr>
        <w:t>1.专利数量分析</w:t>
      </w:r>
      <w:bookmarkEnd w:id="27"/>
    </w:p>
    <w:p>
      <w:pPr>
        <w:spacing w:line="360" w:lineRule="auto"/>
        <w:ind w:firstLine="560" w:firstLineChars="200"/>
        <w:jc w:val="left"/>
        <w:rPr>
          <w:rFonts w:hint="default"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w:t>
      </w:r>
      <w:r>
        <w:rPr>
          <w:rFonts w:hint="eastAsia" w:ascii="仿宋" w:hAnsi="仿宋" w:eastAsia="仿宋" w:cs="仿宋"/>
          <w:sz w:val="28"/>
          <w:szCs w:val="28"/>
          <w:lang w:eastAsia="zh-CN"/>
        </w:rPr>
        <w:t>2022年第二季度</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为申请人的专利公布公告58件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具体分布情况见表1。2022年第二季度，我校申请专利总体趋于上升，2022年4月申请专利数量较多，总体趋势见图1。</w:t>
      </w:r>
    </w:p>
    <w:p>
      <w:pPr>
        <w:spacing w:line="480" w:lineRule="auto"/>
        <w:jc w:val="center"/>
        <w:rPr>
          <w:rFonts w:hint="eastAsia" w:ascii="黑体" w:hAnsi="黑体" w:eastAsia="黑体" w:cs="黑体"/>
          <w:b/>
          <w:bCs/>
          <w:sz w:val="32"/>
          <w:szCs w:val="32"/>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2022年第二季度专利</w:t>
      </w:r>
      <w:r>
        <w:rPr>
          <w:rFonts w:hint="eastAsia" w:ascii="仿宋" w:hAnsi="仿宋" w:eastAsia="仿宋" w:cs="仿宋"/>
          <w:b/>
          <w:bCs/>
          <w:color w:val="000000"/>
          <w:kern w:val="0"/>
          <w:sz w:val="24"/>
          <w:szCs w:val="24"/>
          <w:lang w:bidi="ar"/>
        </w:rPr>
        <w:t>情况统计表</w:t>
      </w:r>
    </w:p>
    <w:tbl>
      <w:tblPr>
        <w:tblStyle w:val="8"/>
        <w:tblW w:w="4998" w:type="pct"/>
        <w:jc w:val="center"/>
        <w:shd w:val="clear" w:color="auto" w:fill="auto"/>
        <w:tblLayout w:type="autofit"/>
        <w:tblCellMar>
          <w:top w:w="0" w:type="dxa"/>
          <w:left w:w="0" w:type="dxa"/>
          <w:bottom w:w="0" w:type="dxa"/>
          <w:right w:w="0" w:type="dxa"/>
        </w:tblCellMar>
      </w:tblPr>
      <w:tblGrid>
        <w:gridCol w:w="4419"/>
        <w:gridCol w:w="3914"/>
      </w:tblGrid>
      <w:tr>
        <w:tblPrEx>
          <w:shd w:val="clear" w:color="auto" w:fill="auto"/>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2022年4月</w:t>
            </w:r>
          </w:p>
        </w:tc>
        <w:tc>
          <w:tcPr>
            <w:tcW w:w="234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26</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2022年5月</w:t>
            </w:r>
          </w:p>
        </w:tc>
        <w:tc>
          <w:tcPr>
            <w:tcW w:w="2348"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2022年6月</w:t>
            </w:r>
          </w:p>
        </w:tc>
        <w:tc>
          <w:tcPr>
            <w:tcW w:w="234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348"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58</w:t>
            </w:r>
          </w:p>
        </w:tc>
      </w:tr>
    </w:tbl>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2022年第二季度专利总体趋势</w:t>
      </w: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p>
    <w:p>
      <w:pPr>
        <w:widowControl w:val="0"/>
        <w:numPr>
          <w:ilvl w:val="0"/>
          <w:numId w:val="0"/>
        </w:numPr>
        <w:tabs>
          <w:tab w:val="left" w:pos="312"/>
        </w:tabs>
        <w:jc w:val="center"/>
        <w:rPr>
          <w:rFonts w:hint="eastAsia" w:ascii="黑体" w:hAnsi="黑体" w:eastAsia="黑体" w:cs="黑体"/>
          <w:b/>
          <w:bCs/>
          <w:sz w:val="32"/>
          <w:szCs w:val="32"/>
          <w:lang w:val="en-US" w:eastAsia="zh-CN"/>
        </w:rPr>
      </w:pPr>
      <w:r>
        <w:rPr>
          <w:rFonts w:hint="eastAsia"/>
          <w:lang w:val="en-US" w:eastAsia="zh-CN"/>
        </w:rPr>
        <w:t xml:space="preserve"> </w:t>
      </w:r>
      <w:bookmarkStart w:id="28" w:name="_Toc6255"/>
      <w:r>
        <w:drawing>
          <wp:inline distT="0" distB="0" distL="114300" distR="114300">
            <wp:extent cx="4572000" cy="2743200"/>
            <wp:effectExtent l="4445" t="4445" r="1460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2.专利类别分析</w:t>
      </w:r>
      <w:bookmarkEnd w:id="28"/>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二季度我校公布公告的专利类别，发明公开专利34件，发明授权专利11件，实用新型专利7件，外观设计专利6件。我校2022年第二季度专利类别主要集中在发明专利上，占比77.59%，说明我校专利创新水平较高，研发能力也比较强，具体情况参见图2。</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2022年第二季度专利类别分布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20" w:firstLineChars="200"/>
        <w:jc w:val="center"/>
        <w:rPr>
          <w:rFonts w:hint="default" w:ascii="仿宋" w:hAnsi="仿宋" w:cs="仿宋" w:eastAsiaTheme="minorEastAsia"/>
          <w:b/>
          <w:bCs/>
          <w:color w:val="000000"/>
          <w:kern w:val="0"/>
          <w:sz w:val="24"/>
          <w:szCs w:val="24"/>
          <w:lang w:val="en-US" w:eastAsia="zh-CN" w:bidi="ar"/>
        </w:rPr>
      </w:pPr>
      <w:r>
        <w:drawing>
          <wp:inline distT="0" distB="0" distL="114300" distR="114300">
            <wp:extent cx="4572000" cy="2743200"/>
            <wp:effectExtent l="4445" t="4445" r="14605" b="14605"/>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eastAsia"/>
          <w:lang w:val="en-US" w:eastAsia="zh-CN"/>
        </w:rPr>
        <w:t xml:space="preserve">  </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29" w:name="_Toc12539"/>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3.学科分析</w:t>
      </w:r>
      <w:bookmarkEnd w:id="29"/>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综合分析2022年第二季度我校公布公告的专利学科关系，占比较多的学科有：轻工业手工业16件，农业工程4件，园艺3件，畜牧与动物医学3件等，具体详情参见图3。</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both"/>
        <w:rPr>
          <w:rFonts w:hint="eastAsia" w:ascii="仿宋" w:hAnsi="仿宋" w:eastAsia="仿宋" w:cs="仿宋"/>
          <w:b/>
          <w:bCs/>
          <w:sz w:val="24"/>
          <w:szCs w:val="24"/>
          <w:lang w:val="en-US" w:eastAsia="zh-CN"/>
        </w:rPr>
      </w:pPr>
    </w:p>
    <w:p>
      <w:pPr>
        <w:numPr>
          <w:ilvl w:val="0"/>
          <w:numId w:val="0"/>
        </w:numPr>
        <w:ind w:firstLine="1205" w:firstLineChars="5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2022年第二季度专利学科分布</w:t>
      </w:r>
    </w:p>
    <w:p>
      <w:pPr>
        <w:numPr>
          <w:ilvl w:val="0"/>
          <w:numId w:val="0"/>
        </w:numPr>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3655695"/>
            <wp:effectExtent l="4445" t="4445" r="14605" b="16510"/>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center"/>
      </w:pPr>
      <w:bookmarkStart w:id="30" w:name="_Toc18240"/>
    </w:p>
    <w:p>
      <w:pPr>
        <w:numPr>
          <w:ilvl w:val="0"/>
          <w:numId w:val="0"/>
        </w:numPr>
        <w:jc w:val="center"/>
        <w:rPr>
          <w:rFonts w:hint="eastAsia"/>
          <w:lang w:val="en-US" w:eastAsia="zh-CN"/>
        </w:rPr>
      </w:pPr>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4.主题词分析</w:t>
      </w:r>
      <w:bookmarkEnd w:id="30"/>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二季度我校公布公告的专利主题词，主要主题词中制备方法、壳聚糖等主题词出现频率较高。次要主题词中立体图、外观设计、固定连接等主题词出现频率较高。下图列举频次较高的主要主题词和次要主题词，具体分布参见图4和图5。</w:t>
      </w: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2022年第二季度主要主题词分布</w:t>
      </w:r>
      <w:r>
        <w:drawing>
          <wp:inline distT="0" distB="0" distL="114300" distR="114300">
            <wp:extent cx="4572000" cy="2743200"/>
            <wp:effectExtent l="4445" t="4445" r="14605" b="14605"/>
            <wp:docPr id="1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2022年第二季度次要主题词分布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rPr>
          <w:rFonts w:hint="eastAsia"/>
          <w:lang w:val="en-US" w:eastAsia="zh-CN"/>
        </w:rPr>
      </w:pPr>
      <w:r>
        <w:drawing>
          <wp:inline distT="0" distB="0" distL="114300" distR="114300">
            <wp:extent cx="4572000" cy="2743200"/>
            <wp:effectExtent l="4445" t="4445" r="14605" b="14605"/>
            <wp:docPr id="1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31" w:name="_Toc9952"/>
      <w:r>
        <w:rPr>
          <w:rFonts w:hint="eastAsia" w:ascii="黑体" w:hAnsi="黑体" w:eastAsia="黑体" w:cs="黑体"/>
          <w:b/>
          <w:bCs/>
          <w:sz w:val="32"/>
          <w:szCs w:val="32"/>
          <w:lang w:val="en-US" w:eastAsia="zh-CN"/>
        </w:rPr>
        <w:t>5.发明人分析</w:t>
      </w:r>
      <w:bookmarkEnd w:id="31"/>
      <w:r>
        <w:rPr>
          <w:rFonts w:hint="eastAsia" w:ascii="黑体" w:hAnsi="黑体" w:eastAsia="黑体" w:cs="黑体"/>
          <w:b w:val="0"/>
          <w:bCs w:val="0"/>
          <w:sz w:val="32"/>
          <w:szCs w:val="32"/>
          <w:lang w:val="en-US" w:eastAsia="zh-CN"/>
        </w:rPr>
        <w:t>（含合作者）</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综合分析2022年第二季度我校公布公告的专利发明人，</w:t>
      </w:r>
      <w:r>
        <w:rPr>
          <w:rFonts w:hint="default" w:ascii="仿宋" w:hAnsi="仿宋" w:eastAsia="仿宋" w:cs="仿宋"/>
          <w:sz w:val="28"/>
          <w:szCs w:val="28"/>
          <w:lang w:val="en-US" w:eastAsia="zh-CN"/>
        </w:rPr>
        <w:t>参与</w:t>
      </w:r>
      <w:r>
        <w:rPr>
          <w:rFonts w:hint="eastAsia" w:ascii="仿宋" w:hAnsi="仿宋" w:eastAsia="仿宋" w:cs="仿宋"/>
          <w:sz w:val="28"/>
          <w:szCs w:val="28"/>
          <w:lang w:val="en-US" w:eastAsia="zh-CN"/>
        </w:rPr>
        <w:t>三</w:t>
      </w:r>
      <w:r>
        <w:rPr>
          <w:rFonts w:hint="default" w:ascii="仿宋" w:hAnsi="仿宋" w:eastAsia="仿宋" w:cs="仿宋"/>
          <w:sz w:val="28"/>
          <w:szCs w:val="28"/>
          <w:lang w:val="en-US" w:eastAsia="zh-CN"/>
        </w:rPr>
        <w:t>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13</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eastAsia" w:ascii="仿宋" w:hAnsi="仿宋" w:eastAsia="仿宋" w:cs="仿宋"/>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2022年第二季度专利发明人统</w:t>
      </w:r>
      <w:r>
        <w:rPr>
          <w:rFonts w:hint="eastAsia" w:ascii="仿宋" w:hAnsi="仿宋" w:eastAsia="仿宋" w:cs="仿宋"/>
          <w:b/>
          <w:bCs/>
          <w:color w:val="000000"/>
          <w:kern w:val="0"/>
          <w:sz w:val="24"/>
          <w:szCs w:val="24"/>
          <w:lang w:bidi="ar"/>
        </w:rPr>
        <w:t>计表</w:t>
      </w:r>
    </w:p>
    <w:p>
      <w:pPr>
        <w:keepNext w:val="0"/>
        <w:keepLines w:val="0"/>
        <w:pageBreakBefore w:val="0"/>
        <w:numPr>
          <w:ilvl w:val="0"/>
          <w:numId w:val="0"/>
        </w:numPr>
        <w:kinsoku/>
        <w:wordWrap/>
        <w:overflowPunct/>
        <w:topLinePunct w:val="0"/>
        <w:autoSpaceDE/>
        <w:autoSpaceDN/>
        <w:bidi w:val="0"/>
        <w:adjustRightInd/>
        <w:snapToGrid/>
        <w:spacing w:line="240" w:lineRule="atLeast"/>
        <w:ind w:firstLine="482" w:firstLineChars="200"/>
        <w:jc w:val="center"/>
        <w:rPr>
          <w:rFonts w:hint="eastAsia" w:ascii="仿宋" w:hAnsi="仿宋" w:eastAsia="仿宋" w:cs="仿宋"/>
          <w:b/>
          <w:bCs/>
          <w:color w:val="000000"/>
          <w:kern w:val="0"/>
          <w:sz w:val="24"/>
          <w:szCs w:val="24"/>
          <w:lang w:bidi="ar"/>
        </w:rPr>
      </w:pPr>
    </w:p>
    <w:tbl>
      <w:tblPr>
        <w:tblStyle w:val="8"/>
        <w:tblW w:w="4998" w:type="pct"/>
        <w:jc w:val="center"/>
        <w:shd w:val="clear" w:color="auto" w:fill="auto"/>
        <w:tblLayout w:type="autofit"/>
        <w:tblCellMar>
          <w:top w:w="0" w:type="dxa"/>
          <w:left w:w="0" w:type="dxa"/>
          <w:bottom w:w="0" w:type="dxa"/>
          <w:right w:w="0" w:type="dxa"/>
        </w:tblCellMar>
      </w:tblPr>
      <w:tblGrid>
        <w:gridCol w:w="1069"/>
        <w:gridCol w:w="1636"/>
        <w:gridCol w:w="1395"/>
        <w:gridCol w:w="1199"/>
        <w:gridCol w:w="1642"/>
        <w:gridCol w:w="1392"/>
      </w:tblGrid>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吉志新</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郭艾英</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陈立东</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刘绍军</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胡耀谦</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齐慧霞</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温晓蕾</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司增志</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张京政</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闫和梁</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赵航</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张若鸿</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蔡爱军</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98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bl>
    <w:p>
      <w:pPr>
        <w:numPr>
          <w:ilvl w:val="0"/>
          <w:numId w:val="0"/>
        </w:numPr>
        <w:jc w:val="both"/>
        <w:outlineLvl w:val="9"/>
        <w:rPr>
          <w:rFonts w:hint="eastAsia" w:ascii="黑体" w:hAnsi="黑体" w:eastAsia="黑体" w:cs="黑体"/>
          <w:b/>
          <w:bCs/>
          <w:sz w:val="32"/>
          <w:szCs w:val="32"/>
          <w:lang w:val="en-US" w:eastAsia="zh-CN"/>
        </w:rPr>
      </w:pPr>
    </w:p>
    <w:p>
      <w:pPr>
        <w:pStyle w:val="14"/>
        <w:numPr>
          <w:ilvl w:val="0"/>
          <w:numId w:val="0"/>
        </w:numPr>
        <w:spacing w:before="156" w:beforeLines="50" w:after="156" w:afterLines="50" w:line="432" w:lineRule="auto"/>
        <w:ind w:firstLine="0"/>
        <w:outlineLvl w:val="0"/>
        <w:rPr>
          <w:rFonts w:hint="default" w:ascii="黑体" w:hAnsi="黑体" w:eastAsia="黑体" w:cs="黑体"/>
          <w:b/>
          <w:bCs/>
          <w:kern w:val="2"/>
          <w:sz w:val="32"/>
          <w:szCs w:val="32"/>
          <w:lang w:val="en-US" w:eastAsia="zh-CN" w:bidi="ar-SA"/>
        </w:rPr>
      </w:pPr>
      <w:bookmarkStart w:id="32" w:name="_Toc20469"/>
      <w:bookmarkStart w:id="33" w:name="_Toc16727"/>
      <w:bookmarkStart w:id="34" w:name="_Toc6690"/>
      <w:r>
        <w:rPr>
          <w:rFonts w:hint="eastAsia" w:ascii="黑体" w:hAnsi="黑体" w:eastAsia="黑体" w:cs="黑体"/>
          <w:b/>
          <w:bCs/>
          <w:kern w:val="2"/>
          <w:sz w:val="32"/>
          <w:szCs w:val="32"/>
          <w:lang w:val="en-US" w:eastAsia="zh-CN" w:bidi="ar-SA"/>
        </w:rPr>
        <w:t>6.技术领域与产业构成</w:t>
      </w:r>
      <w:bookmarkEnd w:id="32"/>
      <w:bookmarkEnd w:id="33"/>
      <w:r>
        <w:rPr>
          <w:rFonts w:hint="eastAsia" w:ascii="黑体" w:hAnsi="黑体" w:eastAsia="黑体" w:cs="黑体"/>
          <w:b/>
          <w:bCs/>
          <w:kern w:val="2"/>
          <w:sz w:val="32"/>
          <w:szCs w:val="32"/>
          <w:lang w:val="en-US" w:eastAsia="zh-CN" w:bidi="ar-SA"/>
        </w:rPr>
        <w:t>分析</w:t>
      </w:r>
      <w:bookmarkEnd w:id="34"/>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right="0" w:firstLine="560" w:firstLineChars="200"/>
        <w:jc w:val="left"/>
        <w:rPr>
          <w:rFonts w:hint="default" w:ascii="仿宋" w:hAnsi="仿宋" w:eastAsia="仿宋"/>
          <w:color w:val="333333"/>
          <w:sz w:val="28"/>
          <w:szCs w:val="24"/>
          <w:shd w:val="clear" w:color="auto" w:fill="FFFFFF"/>
          <w:lang w:val="en-US" w:eastAsia="zh-CN"/>
        </w:rPr>
      </w:pPr>
      <w:r>
        <w:rPr>
          <w:rFonts w:hint="eastAsia" w:ascii="仿宋" w:hAnsi="仿宋" w:eastAsia="仿宋" w:cs="仿宋"/>
          <w:sz w:val="28"/>
          <w:szCs w:val="28"/>
          <w:lang w:val="en-US" w:eastAsia="zh-CN"/>
        </w:rPr>
        <w:t>综合分析2022年第二季度我校公布公告的专利，其</w:t>
      </w:r>
      <w:r>
        <w:rPr>
          <w:rFonts w:hint="eastAsia" w:ascii="仿宋" w:hAnsi="仿宋" w:eastAsia="仿宋"/>
          <w:color w:val="000000"/>
          <w:sz w:val="28"/>
          <w:szCs w:val="24"/>
        </w:rPr>
        <w:t>主要集中在IPC分类中的下面几个大类：</w:t>
      </w:r>
      <w:r>
        <w:rPr>
          <w:rFonts w:hint="eastAsia" w:ascii="仿宋" w:hAnsi="仿宋" w:eastAsia="仿宋"/>
          <w:color w:val="333333"/>
          <w:sz w:val="28"/>
          <w:szCs w:val="24"/>
          <w:shd w:val="clear" w:color="auto" w:fill="FFFFFF"/>
        </w:rPr>
        <w:t>A</w:t>
      </w:r>
      <w:r>
        <w:rPr>
          <w:rFonts w:hint="eastAsia" w:ascii="仿宋" w:hAnsi="仿宋" w:eastAsia="仿宋"/>
          <w:color w:val="333333"/>
          <w:sz w:val="28"/>
          <w:szCs w:val="24"/>
          <w:shd w:val="clear" w:color="auto" w:fill="FFFFFF"/>
          <w:lang w:val="en-US" w:eastAsia="zh-CN"/>
        </w:rPr>
        <w:t>0</w:t>
      </w:r>
      <w:r>
        <w:rPr>
          <w:rFonts w:hint="eastAsia" w:ascii="仿宋" w:hAnsi="仿宋" w:eastAsia="仿宋"/>
          <w:color w:val="333333"/>
          <w:sz w:val="28"/>
          <w:szCs w:val="24"/>
          <w:shd w:val="clear" w:color="auto" w:fill="FFFFFF"/>
        </w:rPr>
        <w:t>1（农业；林业；畜牧业；狩猎；诱捕；捕鱼）</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rPr>
        <w:t>A</w:t>
      </w:r>
      <w:r>
        <w:rPr>
          <w:rFonts w:hint="eastAsia" w:ascii="仿宋" w:hAnsi="仿宋" w:eastAsia="仿宋"/>
          <w:color w:val="333333"/>
          <w:sz w:val="28"/>
          <w:szCs w:val="24"/>
          <w:shd w:val="clear" w:color="auto" w:fill="FFFFFF"/>
          <w:lang w:val="en-US" w:eastAsia="zh-CN"/>
        </w:rPr>
        <w:t>23（</w:t>
      </w:r>
      <w:r>
        <w:rPr>
          <w:rFonts w:hint="eastAsia" w:ascii="仿宋" w:hAnsi="仿宋" w:eastAsia="仿宋"/>
          <w:color w:val="333333"/>
          <w:sz w:val="28"/>
          <w:szCs w:val="24"/>
          <w:shd w:val="clear" w:color="auto" w:fill="FFFFFF"/>
        </w:rPr>
        <w:t>其他类不包含的食品或食料；及其处理</w:t>
      </w:r>
      <w:r>
        <w:rPr>
          <w:rFonts w:hint="eastAsia" w:ascii="仿宋" w:hAnsi="仿宋" w:eastAsia="仿宋"/>
          <w:color w:val="333333"/>
          <w:sz w:val="28"/>
          <w:szCs w:val="24"/>
          <w:shd w:val="clear" w:color="auto" w:fill="FFFFFF"/>
          <w:lang w:val="en-US" w:eastAsia="zh-CN"/>
        </w:rPr>
        <w:t>）、</w:t>
      </w:r>
      <w:r>
        <w:rPr>
          <w:rFonts w:hint="eastAsia" w:ascii="仿宋" w:hAnsi="仿宋" w:eastAsia="仿宋"/>
          <w:color w:val="333333"/>
          <w:sz w:val="28"/>
          <w:szCs w:val="24"/>
          <w:shd w:val="clear" w:color="auto" w:fill="FFFFFF"/>
        </w:rPr>
        <w:t>A</w:t>
      </w:r>
      <w:r>
        <w:rPr>
          <w:rFonts w:hint="eastAsia" w:ascii="仿宋" w:hAnsi="仿宋" w:eastAsia="仿宋"/>
          <w:color w:val="333333"/>
          <w:sz w:val="28"/>
          <w:szCs w:val="24"/>
          <w:shd w:val="clear" w:color="auto" w:fill="FFFFFF"/>
          <w:lang w:val="en-US" w:eastAsia="zh-CN"/>
        </w:rPr>
        <w:t>6</w:t>
      </w:r>
      <w:r>
        <w:rPr>
          <w:rFonts w:hint="eastAsia" w:ascii="仿宋" w:hAnsi="仿宋" w:eastAsia="仿宋"/>
          <w:color w:val="333333"/>
          <w:sz w:val="28"/>
          <w:szCs w:val="24"/>
          <w:shd w:val="clear" w:color="auto" w:fill="FFFFFF"/>
        </w:rPr>
        <w:t>1</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rPr>
        <w:t>医学或兽医学；卫生学</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lang w:val="en-US" w:eastAsia="zh-CN"/>
        </w:rPr>
        <w:t>C12</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rPr>
        <w:t>糖工业</w:t>
      </w:r>
      <w:r>
        <w:rPr>
          <w:rFonts w:hint="eastAsia" w:ascii="仿宋" w:hAnsi="仿宋" w:eastAsia="仿宋"/>
          <w:color w:val="333333"/>
          <w:sz w:val="28"/>
          <w:szCs w:val="24"/>
          <w:shd w:val="clear" w:color="auto" w:fill="FFFFFF"/>
          <w:lang w:eastAsia="zh-CN"/>
        </w:rPr>
        <w:t>）</w:t>
      </w:r>
      <w:r>
        <w:rPr>
          <w:rFonts w:hint="eastAsia" w:ascii="仿宋" w:hAnsi="仿宋" w:eastAsia="仿宋"/>
          <w:color w:val="333333"/>
          <w:sz w:val="28"/>
          <w:szCs w:val="24"/>
          <w:shd w:val="clear" w:color="auto" w:fill="FFFFFF"/>
          <w:lang w:val="en-US" w:eastAsia="zh-CN"/>
        </w:rPr>
        <w:t>等，详情参见图6。</w:t>
      </w:r>
    </w:p>
    <w:p>
      <w:pPr>
        <w:pStyle w:val="14"/>
        <w:numPr>
          <w:ilvl w:val="0"/>
          <w:numId w:val="0"/>
        </w:numPr>
        <w:spacing w:line="480" w:lineRule="auto"/>
        <w:ind w:firstLine="0"/>
        <w:jc w:val="center"/>
        <w:rPr>
          <w:rFonts w:hint="default" w:ascii="仿宋" w:hAnsi="仿宋" w:eastAsia="仿宋"/>
          <w:color w:val="333333"/>
          <w:sz w:val="28"/>
          <w:szCs w:val="24"/>
          <w:shd w:val="clear" w:color="auto" w:fill="FFFFFF"/>
          <w:lang w:val="en-US" w:eastAsia="zh-CN"/>
        </w:rPr>
      </w:pPr>
      <w:r>
        <w:rPr>
          <w:rFonts w:hint="eastAsia" w:ascii="仿宋" w:hAnsi="仿宋" w:eastAsia="仿宋"/>
          <w:b/>
          <w:sz w:val="24"/>
          <w:szCs w:val="24"/>
        </w:rPr>
        <w:t>图</w:t>
      </w:r>
      <w:r>
        <w:rPr>
          <w:rFonts w:hint="eastAsia" w:ascii="仿宋" w:hAnsi="仿宋" w:eastAsia="仿宋"/>
          <w:b/>
          <w:sz w:val="24"/>
          <w:szCs w:val="24"/>
          <w:lang w:val="en-US" w:eastAsia="zh-CN"/>
        </w:rPr>
        <w:t>6</w:t>
      </w:r>
      <w:r>
        <w:rPr>
          <w:rFonts w:hint="eastAsia" w:ascii="仿宋" w:hAnsi="仿宋" w:eastAsia="仿宋"/>
          <w:b/>
          <w:sz w:val="24"/>
          <w:szCs w:val="24"/>
        </w:rPr>
        <w:t>：河北科技师范学院</w:t>
      </w:r>
      <w:r>
        <w:rPr>
          <w:rFonts w:hint="eastAsia" w:ascii="仿宋" w:hAnsi="仿宋" w:eastAsia="仿宋"/>
          <w:b/>
          <w:sz w:val="24"/>
          <w:szCs w:val="24"/>
          <w:lang w:val="en-US" w:eastAsia="zh-CN"/>
        </w:rPr>
        <w:t>2022年第二季度</w:t>
      </w:r>
      <w:r>
        <w:rPr>
          <w:rFonts w:hint="eastAsia" w:ascii="仿宋" w:hAnsi="仿宋" w:eastAsia="仿宋"/>
          <w:b/>
          <w:sz w:val="24"/>
          <w:szCs w:val="24"/>
        </w:rPr>
        <w:t>专利技术领域与产业</w:t>
      </w:r>
      <w:r>
        <w:rPr>
          <w:rFonts w:hint="eastAsia" w:ascii="仿宋" w:hAnsi="仿宋" w:eastAsia="仿宋"/>
          <w:b/>
          <w:sz w:val="24"/>
          <w:szCs w:val="24"/>
          <w:lang w:val="en-US" w:eastAsia="zh-CN"/>
        </w:rPr>
        <w:t>构成分布</w:t>
      </w:r>
    </w:p>
    <w:p>
      <w:pPr>
        <w:numPr>
          <w:ilvl w:val="0"/>
          <w:numId w:val="0"/>
        </w:numPr>
        <w:jc w:val="center"/>
        <w:outlineLvl w:val="9"/>
        <w:rPr>
          <w:rFonts w:hint="eastAsia"/>
          <w:lang w:val="en-US" w:eastAsia="zh-CN"/>
        </w:rPr>
      </w:pPr>
      <w:r>
        <w:drawing>
          <wp:inline distT="0" distB="0" distL="114300" distR="114300">
            <wp:extent cx="4572000" cy="2665095"/>
            <wp:effectExtent l="4445" t="4445" r="14605" b="16510"/>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numPr>
          <w:ilvl w:val="0"/>
          <w:numId w:val="0"/>
        </w:numPr>
        <w:jc w:val="both"/>
        <w:outlineLvl w:val="0"/>
        <w:rPr>
          <w:rFonts w:hint="eastAsia" w:ascii="黑体" w:hAnsi="黑体" w:eastAsia="黑体" w:cs="黑体"/>
          <w:b/>
          <w:bCs/>
          <w:sz w:val="32"/>
          <w:szCs w:val="32"/>
          <w:lang w:val="en-US" w:eastAsia="zh-CN"/>
        </w:rPr>
      </w:pPr>
      <w:bookmarkStart w:id="35" w:name="_Toc23978"/>
      <w:r>
        <w:rPr>
          <w:rFonts w:hint="eastAsia" w:ascii="黑体" w:hAnsi="黑体" w:eastAsia="黑体" w:cs="黑体"/>
          <w:b/>
          <w:bCs/>
          <w:sz w:val="32"/>
          <w:szCs w:val="32"/>
          <w:lang w:val="en-US" w:eastAsia="zh-CN"/>
        </w:rPr>
        <w:t>7.申请机构分析</w:t>
      </w:r>
      <w:bookmarkEnd w:id="35"/>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综合分析2022年第二季度我校公布公告的专利申请机构，河北科技师范学院申请专利50件，占比86.21%；河北科技师范学院联合其他机构申请专利共计8件，占比13.79%；具体分布参见图7。</w:t>
      </w:r>
    </w:p>
    <w:p>
      <w:pPr>
        <w:numPr>
          <w:ilvl w:val="0"/>
          <w:numId w:val="0"/>
        </w:numPr>
        <w:spacing w:line="360" w:lineRule="auto"/>
        <w:jc w:val="both"/>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2022年第二季度专利申请机构分布</w:t>
      </w: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813050"/>
            <wp:effectExtent l="4445" t="4445" r="14605" b="2095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eastAsia" w:ascii="黑体" w:hAnsi="黑体" w:eastAsia="黑体" w:cs="黑体"/>
          <w:b/>
          <w:bCs/>
          <w:sz w:val="32"/>
          <w:szCs w:val="32"/>
          <w:lang w:val="en-US" w:eastAsia="zh-CN"/>
        </w:rPr>
      </w:pPr>
      <w:bookmarkStart w:id="36" w:name="_Toc29"/>
      <w:r>
        <w:rPr>
          <w:rFonts w:hint="eastAsia" w:ascii="黑体" w:hAnsi="黑体" w:eastAsia="黑体" w:cs="黑体"/>
          <w:b/>
          <w:bCs/>
          <w:sz w:val="32"/>
          <w:szCs w:val="32"/>
          <w:lang w:val="en-US" w:eastAsia="zh-CN"/>
        </w:rPr>
        <w:t>8.代理机构分析</w:t>
      </w:r>
      <w:bookmarkEnd w:id="36"/>
    </w:p>
    <w:p>
      <w:pPr>
        <w:spacing w:line="48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二季度我校公布公告的58件专利，代理申请机构共34家，其中北京慕达星云知识产权代理事务所、北京百年育人知识产权代理有限公司、深圳树贤专利代理事务所代理申请专利数量较多，具体代理机构分布参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2022年第二季度专利代理机构统</w:t>
      </w:r>
      <w:r>
        <w:rPr>
          <w:rFonts w:hint="eastAsia" w:ascii="仿宋" w:hAnsi="仿宋" w:eastAsia="仿宋" w:cs="仿宋"/>
          <w:b/>
          <w:bCs/>
          <w:color w:val="000000"/>
          <w:kern w:val="0"/>
          <w:sz w:val="24"/>
          <w:szCs w:val="24"/>
          <w:lang w:bidi="ar"/>
        </w:rPr>
        <w:t>计表</w:t>
      </w:r>
    </w:p>
    <w:tbl>
      <w:tblPr>
        <w:tblStyle w:val="8"/>
        <w:tblW w:w="4998" w:type="pct"/>
        <w:tblInd w:w="0" w:type="dxa"/>
        <w:shd w:val="clear" w:color="auto" w:fill="auto"/>
        <w:tblLayout w:type="autofit"/>
        <w:tblCellMar>
          <w:top w:w="0" w:type="dxa"/>
          <w:left w:w="0" w:type="dxa"/>
          <w:bottom w:w="0" w:type="dxa"/>
          <w:right w:w="0" w:type="dxa"/>
        </w:tblCellMar>
      </w:tblPr>
      <w:tblGrid>
        <w:gridCol w:w="1560"/>
        <w:gridCol w:w="5074"/>
        <w:gridCol w:w="1699"/>
      </w:tblGrid>
      <w:tr>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北京百年育人知识产权代理有限公司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深圳树贤专利代理事务所</w:t>
            </w:r>
            <w:bookmarkStart w:id="38" w:name="_GoBack"/>
            <w:bookmarkEnd w:id="38"/>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北京鑫知翼知识产权代理事务所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北京博尔赫知识产权代理事务所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北京睿智保诚专利代理事务所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温州市品创专利商标代理事务所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重庆宏知亿知识产权代理事务所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7" w:name="_Toc17108"/>
            <w:r>
              <w:rPr>
                <w:rFonts w:hint="eastAsia" w:ascii="仿宋" w:hAnsi="仿宋" w:eastAsia="仿宋" w:cs="仿宋"/>
                <w:i w:val="0"/>
                <w:color w:val="000000"/>
                <w:kern w:val="0"/>
                <w:sz w:val="24"/>
                <w:szCs w:val="24"/>
                <w:u w:val="none"/>
                <w:lang w:val="en-US" w:eastAsia="zh-CN" w:bidi="ar"/>
              </w:rPr>
              <w:t>9</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重庆市诺兴专利代理事务所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bl>
    <w:p>
      <w:pPr>
        <w:numPr>
          <w:ilvl w:val="0"/>
          <w:numId w:val="0"/>
        </w:numPr>
        <w:ind w:leftChars="0"/>
        <w:jc w:val="both"/>
        <w:outlineLvl w:val="0"/>
        <w:rPr>
          <w:rFonts w:hint="eastAsia" w:ascii="黑体" w:hAnsi="黑体" w:eastAsia="黑体" w:cs="黑体"/>
          <w:b/>
          <w:bCs/>
          <w:sz w:val="32"/>
          <w:szCs w:val="32"/>
          <w:lang w:val="en-US" w:eastAsia="zh-CN"/>
        </w:rPr>
      </w:pPr>
    </w:p>
    <w:p>
      <w:pPr>
        <w:numPr>
          <w:ilvl w:val="0"/>
          <w:numId w:val="0"/>
        </w:numPr>
        <w:ind w:leftChars="0"/>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9.综合分析</w:t>
      </w:r>
      <w:bookmarkEnd w:id="37"/>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4"/>
          <w:szCs w:val="24"/>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lang w:eastAsia="zh-CN"/>
        </w:rPr>
        <w:t>2022年第二季度</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p>
      <w:pPr>
        <w:spacing w:line="480" w:lineRule="auto"/>
        <w:outlineLvl w:val="9"/>
        <w:rPr>
          <w:rFonts w:hint="eastAsia" w:ascii="仿宋" w:hAnsi="仿宋" w:eastAsia="仿宋" w:cs="仿宋"/>
          <w:b/>
          <w:bCs/>
          <w:sz w:val="28"/>
          <w:szCs w:val="28"/>
        </w:rPr>
      </w:pP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eastAsia" w:ascii="Arial"/>
          <w:color w:val="4AC1DD"/>
          <w:sz w:val="230"/>
          <w:szCs w:val="24"/>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oNotHyphenateCaps/>
  <w:drawingGridHorizontalSpacing w:val="105"/>
  <w:drawingGridVerticalSpacing w:val="285"/>
  <w:displayHorizontalDrawingGridEvery w:val="1"/>
  <w:displayVerticalDrawingGridEvery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3C5849"/>
    <w:rsid w:val="0B6D1B6C"/>
    <w:rsid w:val="0CC56CA9"/>
    <w:rsid w:val="3B380AF6"/>
    <w:rsid w:val="456B524E"/>
    <w:rsid w:val="50253F47"/>
    <w:rsid w:val="5BDB3ECE"/>
    <w:rsid w:val="60581879"/>
    <w:rsid w:val="755558FC"/>
    <w:rsid w:val="78FA3A9C"/>
    <w:rsid w:val="79BF69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uiPriority="99" w:semiHidden="0"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39" w:semiHidden="0" w:name="Table Grid"/>
    <w:lsdException w:qFormat="1" w:unhideWhenUsed="0" w:uiPriority="99"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rPr>
  </w:style>
  <w:style w:type="character" w:default="1" w:styleId="9">
    <w:name w:val="Default Paragraph Font"/>
    <w:unhideWhenUsed/>
    <w:uiPriority w:val="99"/>
    <w:rPr>
      <w:rFonts w:hint="default"/>
      <w:sz w:val="24"/>
      <w:szCs w:val="24"/>
    </w:rPr>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1"/>
    <w:pPr>
      <w:ind w:left="20"/>
    </w:pPr>
    <w:rPr>
      <w:rFonts w:hint="eastAsia" w:ascii="微软雅黑" w:hAnsi="微软雅黑" w:eastAsia="微软雅黑"/>
      <w:sz w:val="41"/>
      <w:szCs w:val="24"/>
    </w:rPr>
  </w:style>
  <w:style w:type="paragraph" w:styleId="3">
    <w:name w:val="footer"/>
    <w:basedOn w:val="1"/>
    <w:link w:val="18"/>
    <w:unhideWhenUsed/>
    <w:qFormat/>
    <w:uiPriority w:val="99"/>
    <w:pPr>
      <w:tabs>
        <w:tab w:val="center" w:pos="4153"/>
        <w:tab w:val="right" w:pos="8306"/>
      </w:tabs>
      <w:snapToGrid w:val="0"/>
      <w:spacing w:line="240" w:lineRule="atLeast"/>
      <w:jc w:val="left"/>
    </w:pPr>
    <w:rPr>
      <w:rFonts w:hint="eastAsia"/>
      <w:sz w:val="18"/>
      <w:szCs w:val="24"/>
    </w:rPr>
  </w:style>
  <w:style w:type="paragraph" w:styleId="4">
    <w:name w:val="header"/>
    <w:basedOn w:val="1"/>
    <w:link w:val="16"/>
    <w:unhideWhenUsed/>
    <w:uiPriority w:val="99"/>
    <w:pPr>
      <w:pBdr>
        <w:bottom w:val="single" w:color="auto" w:sz="6" w:space="1"/>
      </w:pBdr>
      <w:tabs>
        <w:tab w:val="center" w:pos="4153"/>
        <w:tab w:val="right" w:pos="8306"/>
      </w:tabs>
      <w:snapToGrid w:val="0"/>
      <w:spacing w:line="240" w:lineRule="atLeast"/>
      <w:jc w:val="center"/>
    </w:pPr>
    <w:rPr>
      <w:rFonts w:hint="eastAsia"/>
      <w:sz w:val="18"/>
      <w:szCs w:val="24"/>
    </w:rPr>
  </w:style>
  <w:style w:type="paragraph" w:styleId="5">
    <w:name w:val="toc 1"/>
    <w:basedOn w:val="1"/>
    <w:next w:val="1"/>
    <w:unhideWhenUsed/>
    <w:qFormat/>
    <w:uiPriority w:val="39"/>
    <w:rPr>
      <w:rFonts w:hint="eastAsia"/>
      <w:sz w:val="21"/>
      <w:szCs w:val="24"/>
    </w:rPr>
  </w:style>
  <w:style w:type="paragraph" w:styleId="6">
    <w:name w:val="toc 2"/>
    <w:basedOn w:val="1"/>
    <w:next w:val="1"/>
    <w:unhideWhenUsed/>
    <w:qFormat/>
    <w:uiPriority w:val="0"/>
    <w:pPr>
      <w:ind w:left="420" w:leftChars="200"/>
    </w:pPr>
    <w:rPr>
      <w:rFonts w:hint="eastAsia"/>
      <w:sz w:val="21"/>
      <w:szCs w:val="24"/>
    </w:rPr>
  </w:style>
  <w:style w:type="paragraph" w:styleId="7">
    <w:name w:val="Normal (Web)"/>
    <w:basedOn w:val="1"/>
    <w:unhideWhenUsed/>
    <w:qFormat/>
    <w:uiPriority w:val="99"/>
    <w:pPr>
      <w:widowControl/>
      <w:spacing w:before="100" w:beforeAutospacing="1" w:after="100" w:afterAutospacing="1"/>
      <w:jc w:val="left"/>
    </w:pPr>
    <w:rPr>
      <w:rFonts w:hint="eastAsia" w:ascii="宋体" w:hAnsi="宋体"/>
      <w:sz w:val="24"/>
      <w:szCs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unhideWhenUsed/>
    <w:qFormat/>
    <w:uiPriority w:val="99"/>
    <w:rPr>
      <w:rFonts w:hint="default"/>
      <w:color w:val="0000FF"/>
      <w:sz w:val="24"/>
      <w:szCs w:val="24"/>
      <w:u w:val="single"/>
    </w:rPr>
  </w:style>
  <w:style w:type="paragraph" w:customStyle="1" w:styleId="12">
    <w:name w:val="WPSOffice手动目录 1"/>
    <w:unhideWhenUsed/>
    <w:qFormat/>
    <w:uiPriority w:val="0"/>
    <w:pPr>
      <w:spacing w:beforeLines="0" w:afterLines="0"/>
    </w:pPr>
    <w:rPr>
      <w:rFonts w:hint="default" w:ascii="Times New Roman" w:hAnsi="Times New Roman" w:eastAsia="宋体" w:cs="Times New Roman"/>
      <w:sz w:val="20"/>
      <w:szCs w:val="24"/>
    </w:rPr>
  </w:style>
  <w:style w:type="paragraph" w:customStyle="1" w:styleId="13">
    <w:name w:val="WPSOffice手动目录 2"/>
    <w:unhideWhenUsed/>
    <w:qFormat/>
    <w:uiPriority w:val="0"/>
    <w:pPr>
      <w:spacing w:beforeLines="0" w:afterLines="0"/>
      <w:ind w:leftChars="200"/>
    </w:pPr>
    <w:rPr>
      <w:rFonts w:hint="default" w:ascii="Times New Roman" w:hAnsi="Times New Roman" w:eastAsia="宋体" w:cs="Times New Roman"/>
      <w:sz w:val="20"/>
      <w:szCs w:val="24"/>
    </w:rPr>
  </w:style>
  <w:style w:type="paragraph" w:styleId="14">
    <w:name w:val="List Paragraph"/>
    <w:basedOn w:val="1"/>
    <w:unhideWhenUsed/>
    <w:qFormat/>
    <w:uiPriority w:val="34"/>
    <w:pPr>
      <w:ind w:firstLine="420" w:firstLineChars="200"/>
    </w:pPr>
    <w:rPr>
      <w:rFonts w:hint="eastAsia"/>
      <w:sz w:val="21"/>
      <w:szCs w:val="24"/>
    </w:rPr>
  </w:style>
  <w:style w:type="paragraph" w:styleId="15">
    <w:name w:val="No Spacing"/>
    <w:link w:val="17"/>
    <w:unhideWhenUsed/>
    <w:qFormat/>
    <w:uiPriority w:val="1"/>
    <w:rPr>
      <w:rFonts w:hint="eastAsia" w:ascii="等线" w:hAnsi="等线" w:eastAsia="等线" w:cs="Times New Roman"/>
      <w:sz w:val="22"/>
      <w:szCs w:val="24"/>
      <w:lang w:val="en-US" w:eastAsia="zh-CN"/>
    </w:rPr>
  </w:style>
  <w:style w:type="character" w:customStyle="1" w:styleId="16">
    <w:name w:val="页眉 字符"/>
    <w:basedOn w:val="9"/>
    <w:link w:val="4"/>
    <w:unhideWhenUsed/>
    <w:qFormat/>
    <w:locked/>
    <w:uiPriority w:val="99"/>
    <w:rPr>
      <w:rFonts w:hint="eastAsia" w:ascii="Times New Roman" w:hAnsi="Times New Roman" w:eastAsia="宋体"/>
      <w:sz w:val="18"/>
      <w:szCs w:val="24"/>
    </w:rPr>
  </w:style>
  <w:style w:type="character" w:customStyle="1" w:styleId="17">
    <w:name w:val="无间隔 字符"/>
    <w:link w:val="15"/>
    <w:unhideWhenUsed/>
    <w:qFormat/>
    <w:locked/>
    <w:uiPriority w:val="1"/>
    <w:rPr>
      <w:rFonts w:hint="default"/>
      <w:sz w:val="22"/>
      <w:szCs w:val="24"/>
    </w:rPr>
  </w:style>
  <w:style w:type="character" w:customStyle="1" w:styleId="18">
    <w:name w:val="页脚 字符"/>
    <w:basedOn w:val="9"/>
    <w:link w:val="3"/>
    <w:unhideWhenUsed/>
    <w:qFormat/>
    <w:locked/>
    <w:uiPriority w:val="99"/>
    <w:rPr>
      <w:rFonts w:hint="eastAsia" w:ascii="Times New Roman" w:hAnsi="Times New Roman" w:eastAsia="宋体"/>
      <w:sz w:val="18"/>
      <w:szCs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2&#31532;&#20108;&#23395;&#24230;&#19987;&#21033;&#24773;&#20917;&#32479;&#35745;\CNKI-2022&#31532;&#20108;&#23395;&#24230;&#19987;&#21033;&#24635;&#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022&#31532;&#20108;&#23395;&#24230;&#19987;&#21033;&#24773;&#20917;&#32479;&#35745;\CNKI-2022&#31532;&#20108;&#23395;&#24230;&#19987;&#21033;&#24635;&#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022&#31532;&#20108;&#23395;&#24230;&#19987;&#21033;&#24773;&#20917;&#32479;&#35745;\CNKI-2022&#31532;&#20108;&#23395;&#24230;&#19987;&#21033;&#24635;&#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2&#31532;&#20108;&#23395;&#24230;&#19987;&#21033;&#24773;&#20917;&#32479;&#35745;\CNKI-2022&#31532;&#20108;&#23395;&#24230;&#19987;&#21033;&#24635;&#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2&#31532;&#20108;&#23395;&#24230;&#19987;&#21033;&#24773;&#20917;&#32479;&#35745;\CNKI-2022&#31532;&#20108;&#23395;&#24230;&#19987;&#21033;&#24635;&#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2&#31532;&#20108;&#23395;&#24230;&#19987;&#21033;&#24773;&#20917;&#32479;&#35745;\CNKI-2022&#31532;&#20108;&#23395;&#24230;&#19987;&#21033;&#24635;&#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2&#31532;&#20108;&#23395;&#24230;&#19987;&#21033;&#24773;&#20917;&#32479;&#35745;\CNKI-2022&#31532;&#20108;&#23395;&#24230;&#19987;&#21033;&#24635;&#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dk1">
                    <a:lumMod val="50000"/>
                    <a:lumOff val="50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'[CNKI-2022第二季度专利总表.xlsx]数量分析'!$A$2:$A$4</c:f>
              <c:numCache>
                <c:formatCode>yyyy"年"m"月"</c:formatCode>
                <c:ptCount val="3"/>
                <c:pt idx="0" c:formatCode="yyyy&quot;年&quot;m&quot;月&quot;">
                  <c:v>44652</c:v>
                </c:pt>
                <c:pt idx="1" c:formatCode="yyyy&quot;年&quot;m&quot;月&quot;">
                  <c:v>44682</c:v>
                </c:pt>
                <c:pt idx="2" c:formatCode="yyyy&quot;年&quot;m&quot;月&quot;">
                  <c:v>44713</c:v>
                </c:pt>
              </c:numCache>
            </c:numRef>
          </c:cat>
          <c:val>
            <c:numRef>
              <c:f>'[CNKI-2022第二季度专利总表.xlsx]数量分析'!$B$2:$B$4</c:f>
              <c:numCache>
                <c:formatCode>General</c:formatCode>
                <c:ptCount val="3"/>
                <c:pt idx="0">
                  <c:v>26</c:v>
                </c:pt>
                <c:pt idx="1">
                  <c:v>18</c:v>
                </c:pt>
                <c:pt idx="2">
                  <c:v>14</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559616798"/>
        <c:axId val="888355024"/>
      </c:lineChart>
      <c:dateAx>
        <c:axId val="559616798"/>
        <c:scaling>
          <c:orientation val="minMax"/>
        </c:scaling>
        <c:delete val="0"/>
        <c:axPos val="b"/>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888355024"/>
        <c:crosses val="autoZero"/>
        <c:auto val="1"/>
        <c:lblOffset val="100"/>
        <c:baseTimeUnit val="months"/>
      </c:dateAx>
      <c:valAx>
        <c:axId val="888355024"/>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55961679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manualLayout>
          <c:xMode val="edge"/>
          <c:yMode val="edge"/>
          <c:x val="0.414444444444444"/>
          <c:y val="0.03125"/>
        </c:manualLayout>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'[CNKI-2022第二季度专利总表.xlsx]专利类别'!$C$2:$C$5</c:f>
              <c:strCache>
                <c:ptCount val="4"/>
                <c:pt idx="0">
                  <c:v>发明公开</c:v>
                </c:pt>
                <c:pt idx="1">
                  <c:v>发明授权</c:v>
                </c:pt>
                <c:pt idx="2">
                  <c:v>实用新型</c:v>
                </c:pt>
                <c:pt idx="3">
                  <c:v>外观设计</c:v>
                </c:pt>
              </c:strCache>
            </c:strRef>
          </c:cat>
          <c:val>
            <c:numRef>
              <c:f>'[CNKI-2022第二季度专利总表.xlsx]专利类别'!$D$2:$D$5</c:f>
              <c:numCache>
                <c:formatCode>@</c:formatCode>
                <c:ptCount val="4"/>
                <c:pt idx="0">
                  <c:v>34</c:v>
                </c:pt>
                <c:pt idx="1">
                  <c:v>11</c:v>
                </c:pt>
                <c:pt idx="2">
                  <c:v>7</c:v>
                </c:pt>
                <c:pt idx="3">
                  <c:v>6</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'[CNKI-2022第二季度专利总表.xlsx]学科'!$F$2:$F$21</c:f>
              <c:strCache>
                <c:ptCount val="20"/>
                <c:pt idx="0">
                  <c:v>轻工业手工业</c:v>
                </c:pt>
                <c:pt idx="1">
                  <c:v>农业工程</c:v>
                </c:pt>
                <c:pt idx="2">
                  <c:v>园艺</c:v>
                </c:pt>
                <c:pt idx="3">
                  <c:v>畜牧与动物医学</c:v>
                </c:pt>
                <c:pt idx="4">
                  <c:v>化学</c:v>
                </c:pt>
                <c:pt idx="5">
                  <c:v>金属学及金属工艺</c:v>
                </c:pt>
                <c:pt idx="6">
                  <c:v>机械工业</c:v>
                </c:pt>
                <c:pt idx="7">
                  <c:v>环境科学与资源利用</c:v>
                </c:pt>
                <c:pt idx="8">
                  <c:v>林业</c:v>
                </c:pt>
                <c:pt idx="9">
                  <c:v>农艺学</c:v>
                </c:pt>
                <c:pt idx="10">
                  <c:v>仪器仪表工业</c:v>
                </c:pt>
                <c:pt idx="11">
                  <c:v>生物医学工程</c:v>
                </c:pt>
                <c:pt idx="12">
                  <c:v>生物学</c:v>
                </c:pt>
                <c:pt idx="13">
                  <c:v>水产和渔业</c:v>
                </c:pt>
                <c:pt idx="14">
                  <c:v>工业通用技术及设备</c:v>
                </c:pt>
                <c:pt idx="15">
                  <c:v>计算计软件及计算机技术</c:v>
                </c:pt>
                <c:pt idx="16">
                  <c:v>动力工程</c:v>
                </c:pt>
                <c:pt idx="17">
                  <c:v>农业基础科学</c:v>
                </c:pt>
                <c:pt idx="18">
                  <c:v>建筑科学与工程</c:v>
                </c:pt>
                <c:pt idx="19">
                  <c:v>船舶工业</c:v>
                </c:pt>
              </c:strCache>
            </c:strRef>
          </c:cat>
          <c:val>
            <c:numRef>
              <c:f>'[CNKI-2022第二季度专利总表.xlsx]学科'!$G$2:$G$21</c:f>
              <c:numCache>
                <c:formatCode>General</c:formatCode>
                <c:ptCount val="20"/>
                <c:pt idx="0">
                  <c:v>16</c:v>
                </c:pt>
                <c:pt idx="1">
                  <c:v>4</c:v>
                </c:pt>
                <c:pt idx="2">
                  <c:v>3</c:v>
                </c:pt>
                <c:pt idx="3">
                  <c:v>3</c:v>
                </c:pt>
                <c:pt idx="4">
                  <c:v>3</c:v>
                </c:pt>
                <c:pt idx="5">
                  <c:v>3</c:v>
                </c:pt>
                <c:pt idx="6">
                  <c:v>3</c:v>
                </c:pt>
                <c:pt idx="7">
                  <c:v>3</c:v>
                </c:pt>
                <c:pt idx="8">
                  <c:v>3</c:v>
                </c:pt>
                <c:pt idx="9">
                  <c:v>2</c:v>
                </c:pt>
                <c:pt idx="10">
                  <c:v>2</c:v>
                </c:pt>
                <c:pt idx="11">
                  <c:v>2</c:v>
                </c:pt>
                <c:pt idx="12">
                  <c:v>2</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'[CNKI-2022第二季度专利总表.xlsx]主题'!$E$2:$E$21</c:f>
              <c:strCache>
                <c:ptCount val="20"/>
                <c:pt idx="0">
                  <c:v>制备方法</c:v>
                </c:pt>
                <c:pt idx="1">
                  <c:v>壳聚糖</c:v>
                </c:pt>
                <c:pt idx="2">
                  <c:v>容错控制</c:v>
                </c:pt>
                <c:pt idx="3">
                  <c:v>飞行高度</c:v>
                </c:pt>
                <c:pt idx="4">
                  <c:v>TiO</c:v>
                </c:pt>
                <c:pt idx="5">
                  <c:v>升降式</c:v>
                </c:pt>
                <c:pt idx="6">
                  <c:v>经济学</c:v>
                </c:pt>
                <c:pt idx="7">
                  <c:v>ZnO@PDA/Ag-Ag-2O</c:v>
                </c:pt>
                <c:pt idx="8">
                  <c:v>储藏箱</c:v>
                </c:pt>
                <c:pt idx="9">
                  <c:v>保险装置</c:v>
                </c:pt>
                <c:pt idx="10">
                  <c:v>综合评价方法</c:v>
                </c:pt>
                <c:pt idx="11">
                  <c:v>双金属</c:v>
                </c:pt>
                <c:pt idx="12">
                  <c:v>水下机器人</c:v>
                </c:pt>
                <c:pt idx="13">
                  <c:v>无氧化</c:v>
                </c:pt>
                <c:pt idx="14">
                  <c:v>易感性</c:v>
                </c:pt>
                <c:pt idx="15">
                  <c:v>剖检</c:v>
                </c:pt>
                <c:pt idx="16">
                  <c:v>打包机</c:v>
                </c:pt>
                <c:pt idx="17">
                  <c:v>模拟方法</c:v>
                </c:pt>
                <c:pt idx="18">
                  <c:v>广告牌</c:v>
                </c:pt>
                <c:pt idx="19">
                  <c:v>太阳电池组件</c:v>
                </c:pt>
              </c:strCache>
            </c:strRef>
          </c:cat>
          <c:val>
            <c:numRef>
              <c:f>'[CNKI-2022第二季度专利总表.xlsx]主题'!$F$2:$F$21</c:f>
              <c:numCache>
                <c:formatCode>General</c:formatCode>
                <c:ptCount val="20"/>
                <c:pt idx="0">
                  <c:v>8</c:v>
                </c:pt>
                <c:pt idx="1">
                  <c:v>2</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dLbls>
        <c:gapWidth val="219"/>
        <c:overlap val="-27"/>
        <c:axId val="240032585"/>
        <c:axId val="206142073"/>
      </c:barChart>
      <c:catAx>
        <c:axId val="24003258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6142073"/>
        <c:crosses val="autoZero"/>
        <c:auto val="1"/>
        <c:lblAlgn val="ctr"/>
        <c:lblOffset val="100"/>
        <c:noMultiLvlLbl val="0"/>
      </c:catAx>
      <c:valAx>
        <c:axId val="20614207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003258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'[CNKI-2022第二季度专利总表.xlsx]主题'!$L$2:$L$21</c:f>
              <c:strCache>
                <c:ptCount val="20"/>
                <c:pt idx="0">
                  <c:v>立体图</c:v>
                </c:pt>
                <c:pt idx="1">
                  <c:v>外观设计</c:v>
                </c:pt>
                <c:pt idx="2">
                  <c:v>固定连接</c:v>
                </c:pt>
                <c:pt idx="3">
                  <c:v>保鲜剂</c:v>
                </c:pt>
                <c:pt idx="4">
                  <c:v>环丙沙星</c:v>
                </c:pt>
                <c:pt idx="5">
                  <c:v>支撑杆</c:v>
                </c:pt>
                <c:pt idx="6">
                  <c:v>雾化喷头</c:v>
                </c:pt>
                <c:pt idx="7">
                  <c:v>传动杆</c:v>
                </c:pt>
                <c:pt idx="8">
                  <c:v>抓取机构</c:v>
                </c:pt>
                <c:pt idx="9">
                  <c:v>固定板</c:v>
                </c:pt>
                <c:pt idx="10">
                  <c:v>支杆</c:v>
                </c:pt>
                <c:pt idx="11">
                  <c:v>拉深凹模</c:v>
                </c:pt>
                <c:pt idx="12">
                  <c:v>比表面积</c:v>
                </c:pt>
                <c:pt idx="13">
                  <c:v>减震垫</c:v>
                </c:pt>
                <c:pt idx="14">
                  <c:v>导向块</c:v>
                </c:pt>
                <c:pt idx="15">
                  <c:v>黄瓜品种</c:v>
                </c:pt>
                <c:pt idx="16">
                  <c:v>金属网</c:v>
                </c:pt>
                <c:pt idx="17">
                  <c:v>升降器</c:v>
                </c:pt>
                <c:pt idx="18">
                  <c:v>注水管</c:v>
                </c:pt>
                <c:pt idx="19">
                  <c:v>期望值</c:v>
                </c:pt>
              </c:strCache>
            </c:strRef>
          </c:cat>
          <c:val>
            <c:numRef>
              <c:f>'[CNKI-2022第二季度专利总表.xlsx]主题'!$M$2:$M$21</c:f>
              <c:numCache>
                <c:formatCode>General</c:formatCode>
                <c:ptCount val="20"/>
                <c:pt idx="0">
                  <c:v>5</c:v>
                </c:pt>
                <c:pt idx="1">
                  <c:v>5</c:v>
                </c:pt>
                <c:pt idx="2">
                  <c:v>5</c:v>
                </c:pt>
                <c:pt idx="3">
                  <c:v>2</c:v>
                </c:pt>
                <c:pt idx="4">
                  <c:v>2</c:v>
                </c:pt>
                <c:pt idx="5">
                  <c:v>2</c:v>
                </c:pt>
                <c:pt idx="6">
                  <c:v>2</c:v>
                </c:pt>
                <c:pt idx="7">
                  <c:v>2</c:v>
                </c:pt>
                <c:pt idx="8">
                  <c:v>2</c:v>
                </c:pt>
                <c:pt idx="9">
                  <c:v>2</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dLbls>
        <c:gapWidth val="219"/>
        <c:overlap val="-27"/>
        <c:axId val="173770138"/>
        <c:axId val="735807600"/>
      </c:barChart>
      <c:catAx>
        <c:axId val="17377013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5807600"/>
        <c:crosses val="autoZero"/>
        <c:auto val="1"/>
        <c:lblAlgn val="ctr"/>
        <c:lblOffset val="100"/>
        <c:noMultiLvlLbl val="0"/>
      </c:catAx>
      <c:valAx>
        <c:axId val="73580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77013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技术领域与产业构成分布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'[CNKI-2022第二季度专利总表.xlsx]IPC'!$C$3:$C$26</c:f>
              <c:strCache>
                <c:ptCount val="24"/>
                <c:pt idx="0">
                  <c:v>A01</c:v>
                </c:pt>
                <c:pt idx="1">
                  <c:v>A23</c:v>
                </c:pt>
                <c:pt idx="2">
                  <c:v>A61</c:v>
                </c:pt>
                <c:pt idx="3">
                  <c:v>C12</c:v>
                </c:pt>
                <c:pt idx="4">
                  <c:v>G01</c:v>
                </c:pt>
                <c:pt idx="5">
                  <c:v>G09</c:v>
                </c:pt>
                <c:pt idx="6">
                  <c:v>A47</c:v>
                </c:pt>
                <c:pt idx="7">
                  <c:v>A63</c:v>
                </c:pt>
                <c:pt idx="8">
                  <c:v>B08</c:v>
                </c:pt>
                <c:pt idx="9">
                  <c:v>B65</c:v>
                </c:pt>
                <c:pt idx="10">
                  <c:v>C02</c:v>
                </c:pt>
                <c:pt idx="11">
                  <c:v>B01</c:v>
                </c:pt>
                <c:pt idx="12">
                  <c:v>B21</c:v>
                </c:pt>
                <c:pt idx="13">
                  <c:v>B23</c:v>
                </c:pt>
                <c:pt idx="14">
                  <c:v>B24</c:v>
                </c:pt>
                <c:pt idx="15">
                  <c:v>B26</c:v>
                </c:pt>
                <c:pt idx="16">
                  <c:v>B63</c:v>
                </c:pt>
                <c:pt idx="17">
                  <c:v>B82</c:v>
                </c:pt>
                <c:pt idx="18">
                  <c:v>C09</c:v>
                </c:pt>
                <c:pt idx="19">
                  <c:v>F16</c:v>
                </c:pt>
                <c:pt idx="20">
                  <c:v>F26</c:v>
                </c:pt>
                <c:pt idx="21">
                  <c:v>G05</c:v>
                </c:pt>
                <c:pt idx="22">
                  <c:v>G06</c:v>
                </c:pt>
                <c:pt idx="23">
                  <c:v>H05</c:v>
                </c:pt>
              </c:strCache>
            </c:strRef>
          </c:cat>
          <c:val>
            <c:numRef>
              <c:f>'[CNKI-2022第二季度专利总表.xlsx]IPC'!$D$3:$D$26</c:f>
              <c:numCache>
                <c:formatCode>@</c:formatCode>
                <c:ptCount val="24"/>
                <c:pt idx="0">
                  <c:v>13</c:v>
                </c:pt>
                <c:pt idx="1">
                  <c:v>4</c:v>
                </c:pt>
                <c:pt idx="2">
                  <c:v>3</c:v>
                </c:pt>
                <c:pt idx="3">
                  <c:v>3</c:v>
                </c:pt>
                <c:pt idx="4">
                  <c:v>3</c:v>
                </c:pt>
                <c:pt idx="5">
                  <c:v>3</c:v>
                </c:pt>
                <c:pt idx="6">
                  <c:v>2</c:v>
                </c:pt>
                <c:pt idx="7">
                  <c:v>2</c:v>
                </c:pt>
                <c:pt idx="8">
                  <c:v>2</c:v>
                </c:pt>
                <c:pt idx="9">
                  <c:v>2</c:v>
                </c:pt>
                <c:pt idx="10">
                  <c:v>2</c:v>
                </c:pt>
                <c:pt idx="11">
                  <c:v>1</c:v>
                </c:pt>
                <c:pt idx="12">
                  <c:v>1</c:v>
                </c:pt>
                <c:pt idx="13">
                  <c:v>1</c:v>
                </c:pt>
                <c:pt idx="14">
                  <c:v>1</c:v>
                </c:pt>
                <c:pt idx="15">
                  <c:v>1</c:v>
                </c:pt>
                <c:pt idx="16">
                  <c:v>1</c:v>
                </c:pt>
                <c:pt idx="17">
                  <c:v>1</c:v>
                </c:pt>
                <c:pt idx="18">
                  <c:v>1</c:v>
                </c:pt>
                <c:pt idx="19">
                  <c:v>1</c:v>
                </c:pt>
                <c:pt idx="20">
                  <c:v>1</c:v>
                </c:pt>
                <c:pt idx="21">
                  <c:v>1</c:v>
                </c:pt>
                <c:pt idx="22">
                  <c:v>1</c:v>
                </c:pt>
                <c:pt idx="23">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'[CNKI-2022第二季度专利总表.xlsx]申请机构'!$C$1:$C$2</c:f>
              <c:strCache>
                <c:ptCount val="2"/>
                <c:pt idx="0">
                  <c:v>河北科技师范学院</c:v>
                </c:pt>
                <c:pt idx="1">
                  <c:v>河北科技师范学院+其他机构</c:v>
                </c:pt>
              </c:strCache>
            </c:strRef>
          </c:cat>
          <c:val>
            <c:numRef>
              <c:f>'[CNKI-2022第二季度专利总表.xlsx]申请机构'!$D$1:$D$2</c:f>
              <c:numCache>
                <c:formatCode>General</c:formatCode>
                <c:ptCount val="2"/>
                <c:pt idx="0">
                  <c:v>50</c:v>
                </c:pt>
                <c:pt idx="1">
                  <c:v>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1860</Words>
  <Characters>2011</Characters>
  <TotalTime>2</TotalTime>
  <ScaleCrop>false</ScaleCrop>
  <LinksUpToDate>false</LinksUpToDate>
  <CharactersWithSpaces>2041</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ym</cp:lastModifiedBy>
  <dcterms:modified xsi:type="dcterms:W3CDTF">2023-04-12T02:39:12Z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55800B5F88B5493DA75F3E47F422650E_13</vt:lpwstr>
  </property>
</Properties>
</file>