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rPr>
          <w:rFonts w:hint="eastAsia" w:ascii="微软雅黑" w:hAnsi="微软雅黑" w:eastAsia="微软雅黑"/>
          <w:sz w:val="28"/>
          <w:szCs w:val="24"/>
          <w:u w:val="single"/>
        </w:rPr>
        <w:sectPr>
          <w:pgSz w:w="11906" w:h="16838"/>
          <w:pgMar w:top="1440" w:right="1080" w:bottom="1440" w:left="1080" w:header="1134" w:footer="794" w:gutter="0"/>
          <w:pgBorders>
            <w:top w:val="none" w:sz="0" w:space="0"/>
            <w:left w:val="none" w:sz="0" w:space="0"/>
            <w:bottom w:val="none" w:sz="0" w:space="0"/>
            <w:right w:val="none" w:sz="0" w:space="0"/>
          </w:pgBorders>
          <w:lnNumType w:countBy="0" w:distance="360"/>
          <w:cols w:space="720" w:num="1"/>
          <w:titlePg/>
          <w:docGrid w:linePitch="286" w:charSpace="0"/>
        </w:sect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3</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3</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7"/>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2022年第四季度专利统计分析报告</w:t>
                            </w:r>
                          </w:p>
                          <w:p>
                            <w:pPr>
                              <w:ind w:firstLine="1961" w:firstLineChars="7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2022年第四季度专利统计分析报告</w:t>
                      </w:r>
                    </w:p>
                    <w:p>
                      <w:pPr>
                        <w:ind w:firstLine="1961" w:firstLineChars="7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5"/>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pPr>
                        <w:pStyle w:val="15"/>
                        <w:spacing w:before="40" w:after="560" w:line="216" w:lineRule="auto"/>
                        <w:rPr>
                          <w:rFonts w:hint="eastAsia" w:ascii="微软雅黑" w:hAnsi="微软雅黑" w:eastAsia="微软雅黑"/>
                          <w:color w:val="000000"/>
                          <w:sz w:val="48"/>
                          <w:szCs w:val="24"/>
                        </w:rPr>
                      </w:pPr>
                    </w:p>
                  </w:txbxContent>
                </v:textbox>
              </v:shape>
            </w:pict>
          </mc:Fallback>
        </mc:AlternateContent>
      </w:r>
    </w:p>
    <w:p>
      <w:pPr>
        <w:spacing w:line="480" w:lineRule="auto"/>
        <w:outlineLvl w:val="0"/>
        <w:rPr>
          <w:rFonts w:hint="eastAsia" w:ascii="仿宋" w:hAnsi="仿宋" w:eastAsia="仿宋" w:cs="仿宋"/>
          <w:sz w:val="28"/>
          <w:szCs w:val="28"/>
        </w:rPr>
      </w:pPr>
      <w:r>
        <w:rPr>
          <w:rFonts w:hint="eastAsia" w:ascii="仿宋" w:hAnsi="仿宋" w:eastAsia="仿宋" w:cs="仿宋"/>
          <w:b/>
          <w:bCs/>
          <w:sz w:val="28"/>
          <w:szCs w:val="28"/>
        </w:rPr>
        <w:t>数据来源</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本报告的数据来源有两个方面：</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（1）中国知网（CNKI）</w:t>
      </w:r>
      <w:r>
        <w:rPr>
          <w:rFonts w:hint="eastAsia" w:ascii="仿宋" w:hAnsi="仿宋" w:eastAsia="仿宋" w:cs="仿宋"/>
          <w:sz w:val="28"/>
          <w:szCs w:val="28"/>
          <w:lang w:val="en-US" w:eastAsia="zh-CN"/>
        </w:rPr>
        <w:t>专利数据库，</w:t>
      </w:r>
      <w:r>
        <w:rPr>
          <w:rFonts w:hint="eastAsia" w:ascii="仿宋" w:hAnsi="仿宋" w:eastAsia="仿宋" w:cs="仿宋"/>
          <w:sz w:val="28"/>
          <w:szCs w:val="28"/>
        </w:rPr>
        <w:t>数据统计下载截止日期为20</w:t>
      </w:r>
      <w:r>
        <w:rPr>
          <w:rFonts w:hint="eastAsia" w:ascii="仿宋" w:hAnsi="仿宋" w:eastAsia="仿宋" w:cs="仿宋"/>
          <w:sz w:val="28"/>
          <w:szCs w:val="28"/>
          <w:lang w:val="en-US" w:eastAsia="zh-CN"/>
        </w:rPr>
        <w:t>23</w:t>
      </w:r>
      <w:r>
        <w:rPr>
          <w:rFonts w:hint="eastAsia" w:ascii="仿宋" w:hAnsi="仿宋" w:eastAsia="仿宋" w:cs="仿宋"/>
          <w:sz w:val="28"/>
          <w:szCs w:val="28"/>
        </w:rPr>
        <w:t>年</w:t>
      </w:r>
      <w:r>
        <w:rPr>
          <w:rFonts w:hint="eastAsia" w:ascii="仿宋" w:hAnsi="仿宋" w:eastAsia="仿宋" w:cs="仿宋"/>
          <w:sz w:val="28"/>
          <w:szCs w:val="28"/>
          <w:lang w:val="en-US" w:eastAsia="zh-CN"/>
        </w:rPr>
        <w:t>01</w:t>
      </w:r>
      <w:r>
        <w:rPr>
          <w:rFonts w:hint="eastAsia" w:ascii="仿宋" w:hAnsi="仿宋" w:eastAsia="仿宋" w:cs="仿宋"/>
          <w:sz w:val="28"/>
          <w:szCs w:val="28"/>
        </w:rPr>
        <w:t>月</w:t>
      </w:r>
      <w:r>
        <w:rPr>
          <w:rFonts w:hint="eastAsia" w:ascii="仿宋" w:hAnsi="仿宋" w:eastAsia="仿宋" w:cs="仿宋"/>
          <w:sz w:val="28"/>
          <w:szCs w:val="28"/>
          <w:lang w:val="en-US" w:eastAsia="zh-CN"/>
        </w:rPr>
        <w:t>12</w:t>
      </w:r>
      <w:r>
        <w:rPr>
          <w:rFonts w:hint="eastAsia" w:ascii="仿宋" w:hAnsi="仿宋" w:eastAsia="仿宋" w:cs="仿宋"/>
          <w:sz w:val="28"/>
          <w:szCs w:val="28"/>
        </w:rPr>
        <w:t>日。</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国家知识产权局专利检索及分析</w:t>
      </w:r>
      <w:r>
        <w:rPr>
          <w:rFonts w:hint="eastAsia" w:ascii="仿宋" w:hAnsi="仿宋" w:eastAsia="仿宋" w:cs="仿宋"/>
          <w:sz w:val="28"/>
          <w:szCs w:val="28"/>
        </w:rPr>
        <w:t>数据库</w:t>
      </w:r>
      <w:r>
        <w:rPr>
          <w:rFonts w:hint="eastAsia" w:ascii="仿宋" w:hAnsi="仿宋" w:eastAsia="仿宋" w:cs="仿宋"/>
          <w:sz w:val="28"/>
          <w:szCs w:val="28"/>
          <w:lang w:eastAsia="zh-CN"/>
        </w:rPr>
        <w:t>，</w:t>
      </w:r>
      <w:r>
        <w:rPr>
          <w:rFonts w:hint="eastAsia" w:ascii="仿宋" w:hAnsi="仿宋" w:eastAsia="仿宋" w:cs="仿宋"/>
          <w:sz w:val="28"/>
          <w:szCs w:val="28"/>
        </w:rPr>
        <w:t>数据统计下载截止日期为20</w:t>
      </w:r>
      <w:r>
        <w:rPr>
          <w:rFonts w:hint="eastAsia" w:ascii="仿宋" w:hAnsi="仿宋" w:eastAsia="仿宋" w:cs="仿宋"/>
          <w:sz w:val="28"/>
          <w:szCs w:val="28"/>
          <w:lang w:val="en-US" w:eastAsia="zh-CN"/>
        </w:rPr>
        <w:t>23</w:t>
      </w:r>
      <w:r>
        <w:rPr>
          <w:rFonts w:hint="eastAsia" w:ascii="仿宋" w:hAnsi="仿宋" w:eastAsia="仿宋" w:cs="仿宋"/>
          <w:sz w:val="28"/>
          <w:szCs w:val="28"/>
        </w:rPr>
        <w:t>年</w:t>
      </w:r>
      <w:r>
        <w:rPr>
          <w:rFonts w:hint="eastAsia" w:ascii="仿宋" w:hAnsi="仿宋" w:eastAsia="仿宋" w:cs="仿宋"/>
          <w:sz w:val="28"/>
          <w:szCs w:val="28"/>
          <w:lang w:val="en-US" w:eastAsia="zh-CN"/>
        </w:rPr>
        <w:t>01</w:t>
      </w:r>
      <w:r>
        <w:rPr>
          <w:rFonts w:hint="eastAsia" w:ascii="仿宋" w:hAnsi="仿宋" w:eastAsia="仿宋" w:cs="仿宋"/>
          <w:sz w:val="28"/>
          <w:szCs w:val="28"/>
        </w:rPr>
        <w:t>月</w:t>
      </w:r>
      <w:r>
        <w:rPr>
          <w:rFonts w:hint="eastAsia" w:ascii="仿宋" w:hAnsi="仿宋" w:eastAsia="仿宋" w:cs="仿宋"/>
          <w:sz w:val="28"/>
          <w:szCs w:val="28"/>
          <w:lang w:val="en-US" w:eastAsia="zh-CN"/>
        </w:rPr>
        <w:t>18</w:t>
      </w:r>
      <w:r>
        <w:rPr>
          <w:rFonts w:hint="eastAsia" w:ascii="仿宋" w:hAnsi="仿宋" w:eastAsia="仿宋" w:cs="仿宋"/>
          <w:sz w:val="28"/>
          <w:szCs w:val="28"/>
        </w:rPr>
        <w:t>日。</w:t>
      </w:r>
    </w:p>
    <w:p>
      <w:pPr>
        <w:spacing w:line="480" w:lineRule="auto"/>
        <w:outlineLvl w:val="0"/>
        <w:rPr>
          <w:rFonts w:hint="eastAsia" w:ascii="仿宋" w:hAnsi="仿宋" w:eastAsia="仿宋" w:cs="仿宋"/>
          <w:sz w:val="28"/>
          <w:szCs w:val="28"/>
        </w:rPr>
      </w:pPr>
      <w:bookmarkStart w:id="0" w:name="_Toc31217"/>
      <w:bookmarkStart w:id="1" w:name="_Toc9203"/>
      <w:bookmarkStart w:id="2" w:name="_Toc20858"/>
      <w:bookmarkStart w:id="3" w:name="_Toc5625"/>
      <w:bookmarkStart w:id="4" w:name="_Toc9874"/>
      <w:r>
        <w:rPr>
          <w:rFonts w:hint="eastAsia" w:ascii="仿宋" w:hAnsi="仿宋" w:eastAsia="仿宋" w:cs="仿宋"/>
          <w:b/>
          <w:bCs/>
          <w:sz w:val="28"/>
          <w:szCs w:val="28"/>
        </w:rPr>
        <w:t>数据处理</w:t>
      </w:r>
      <w:bookmarkEnd w:id="0"/>
      <w:bookmarkEnd w:id="1"/>
      <w:bookmarkEnd w:id="2"/>
      <w:bookmarkEnd w:id="3"/>
      <w:bookmarkEnd w:id="4"/>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eastAsia" w:ascii="仿宋" w:hAnsi="仿宋" w:eastAsia="仿宋" w:cs="仿宋"/>
          <w:sz w:val="28"/>
          <w:szCs w:val="28"/>
        </w:rPr>
      </w:pPr>
      <w:bookmarkStart w:id="5" w:name="_Toc3908"/>
      <w:bookmarkStart w:id="6" w:name="_Toc25482"/>
      <w:bookmarkStart w:id="7" w:name="_Toc11709"/>
      <w:bookmarkStart w:id="8" w:name="_Toc17869"/>
      <w:bookmarkStart w:id="9" w:name="_Toc29516"/>
      <w:r>
        <w:rPr>
          <w:rFonts w:hint="eastAsia" w:ascii="仿宋" w:hAnsi="仿宋" w:eastAsia="仿宋" w:cs="仿宋"/>
          <w:b/>
          <w:bCs/>
          <w:sz w:val="28"/>
          <w:szCs w:val="28"/>
        </w:rPr>
        <w:t>报告撰写</w:t>
      </w:r>
      <w:r>
        <w:rPr>
          <w:rFonts w:hint="eastAsia" w:ascii="仿宋" w:hAnsi="仿宋" w:eastAsia="仿宋" w:cs="仿宋"/>
          <w:sz w:val="28"/>
          <w:szCs w:val="28"/>
        </w:rPr>
        <w:t>：</w:t>
      </w:r>
      <w:r>
        <w:rPr>
          <w:rFonts w:hint="eastAsia" w:ascii="仿宋" w:hAnsi="仿宋" w:eastAsia="仿宋" w:cs="仿宋"/>
          <w:sz w:val="28"/>
          <w:szCs w:val="28"/>
          <w:lang w:val="en-US" w:eastAsia="zh-CN"/>
        </w:rPr>
        <w:t>闫  明</w:t>
      </w:r>
      <w:bookmarkEnd w:id="5"/>
      <w:bookmarkEnd w:id="6"/>
      <w:bookmarkEnd w:id="7"/>
      <w:bookmarkEnd w:id="8"/>
      <w:bookmarkEnd w:id="9"/>
      <w:r>
        <w:rPr>
          <w:rFonts w:hint="eastAsia" w:ascii="仿宋" w:hAnsi="仿宋" w:eastAsia="仿宋" w:cs="仿宋"/>
          <w:sz w:val="28"/>
          <w:szCs w:val="28"/>
        </w:rPr>
        <w:t xml:space="preserve">    </w:t>
      </w:r>
    </w:p>
    <w:p>
      <w:pPr>
        <w:spacing w:line="480" w:lineRule="auto"/>
        <w:jc w:val="left"/>
        <w:outlineLvl w:val="0"/>
        <w:rPr>
          <w:rFonts w:hint="eastAsia" w:ascii="仿宋" w:hAnsi="仿宋" w:eastAsia="仿宋" w:cs="仿宋"/>
          <w:sz w:val="28"/>
          <w:szCs w:val="28"/>
        </w:rPr>
      </w:pPr>
      <w:bookmarkStart w:id="10" w:name="_Toc2529"/>
      <w:bookmarkStart w:id="11" w:name="_Toc10280"/>
      <w:bookmarkStart w:id="12" w:name="_Toc27907"/>
      <w:bookmarkStart w:id="13" w:name="_Toc5698"/>
      <w:bookmarkStart w:id="14" w:name="_Toc6044"/>
      <w:r>
        <w:rPr>
          <w:rFonts w:hint="eastAsia" w:ascii="仿宋" w:hAnsi="仿宋" w:eastAsia="仿宋" w:cs="仿宋"/>
          <w:b/>
          <w:bCs/>
          <w:sz w:val="28"/>
          <w:szCs w:val="28"/>
        </w:rPr>
        <w:t>数据处理</w:t>
      </w:r>
      <w:r>
        <w:rPr>
          <w:rFonts w:hint="eastAsia" w:ascii="仿宋" w:hAnsi="仿宋" w:eastAsia="仿宋" w:cs="仿宋"/>
          <w:sz w:val="28"/>
          <w:szCs w:val="28"/>
        </w:rPr>
        <w:t>：闫  明</w:t>
      </w:r>
      <w:bookmarkEnd w:id="10"/>
      <w:bookmarkEnd w:id="11"/>
      <w:bookmarkEnd w:id="12"/>
      <w:bookmarkEnd w:id="13"/>
      <w:bookmarkEnd w:id="14"/>
    </w:p>
    <w:p>
      <w:pPr>
        <w:spacing w:line="480" w:lineRule="auto"/>
        <w:ind w:left="360"/>
        <w:jc w:val="left"/>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default" w:ascii="仿宋" w:hAnsi="仿宋" w:eastAsia="仿宋" w:cs="仿宋"/>
          <w:sz w:val="28"/>
          <w:szCs w:val="28"/>
          <w:lang w:val="en-US" w:eastAsia="zh-CN"/>
        </w:rPr>
      </w:pPr>
    </w:p>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b/>
          <w:bCs/>
          <w:kern w:val="2"/>
          <w:sz w:val="44"/>
          <w:szCs w:val="44"/>
          <w:lang w:val="en-US" w:eastAsia="zh-CN" w:bidi="ar-SA"/>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44"/>
              <w:szCs w:val="44"/>
            </w:rPr>
          </w:pPr>
          <w:r>
            <w:rPr>
              <w:rFonts w:hint="eastAsia" w:ascii="黑体" w:hAnsi="黑体" w:eastAsia="黑体" w:cs="黑体"/>
              <w:b/>
              <w:bCs/>
              <w:sz w:val="44"/>
              <w:szCs w:val="44"/>
            </w:rPr>
            <w:t>目录</w:t>
          </w:r>
        </w:p>
        <w:p>
          <w:pPr>
            <w:pStyle w:val="12"/>
            <w:tabs>
              <w:tab w:val="right" w:leader="dot" w:pos="8306"/>
            </w:tabs>
            <w:rPr>
              <w:b/>
            </w:rPr>
          </w:pPr>
          <w:r>
            <w:fldChar w:fldCharType="begin"/>
          </w:r>
          <w:r>
            <w:instrText xml:space="preserve">TOC \o "1-2" \h \u </w:instrText>
          </w:r>
          <w:r>
            <w:fldChar w:fldCharType="separate"/>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_Toc9885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1.专利数量分析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_Toc9885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_Toc6255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2.专利类别分析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_Toc6255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_Toc12539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3.学科分析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_Toc12539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5</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_Toc18240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4.主题词分析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_Toc18240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_Toc9952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5.发明人分析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_Toc9952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_Toc6690 </w:instrText>
          </w:r>
          <w:r>
            <w:rPr>
              <w:rFonts w:hint="eastAsia" w:ascii="宋体" w:hAnsi="宋体" w:eastAsia="宋体" w:cs="宋体"/>
              <w:b w:val="0"/>
              <w:bCs/>
              <w:sz w:val="24"/>
              <w:szCs w:val="24"/>
            </w:rPr>
            <w:fldChar w:fldCharType="separate"/>
          </w:r>
          <w:r>
            <w:rPr>
              <w:rFonts w:hint="eastAsia" w:ascii="宋体" w:hAnsi="宋体" w:eastAsia="宋体" w:cs="宋体"/>
              <w:b w:val="0"/>
              <w:bCs/>
              <w:kern w:val="2"/>
              <w:sz w:val="24"/>
              <w:szCs w:val="24"/>
              <w:lang w:val="en-US" w:eastAsia="zh-CN" w:bidi="ar-SA"/>
            </w:rPr>
            <w:t>6.技术领域与产业构成分析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_Toc6690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8</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_Toc23978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7.申请机构分析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_Toc23978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8</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8.代理机构分析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9</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b/>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_Toc17108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9.综合分析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_Toc17108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10</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rPr>
              <w:b/>
            </w:rPr>
          </w:pPr>
        </w:p>
        <w:p>
          <w:r>
            <w:rPr>
              <w:b/>
            </w:rPr>
            <w:fldChar w:fldCharType="end"/>
          </w:r>
        </w:p>
      </w:sdtContent>
    </w:sdt>
    <w:p>
      <w:pPr>
        <w:jc w:val="center"/>
        <w:outlineLvl w:val="0"/>
        <w:rPr>
          <w:rFonts w:hint="eastAsia" w:ascii="黑体" w:hAnsi="黑体" w:eastAsia="黑体" w:cs="黑体"/>
          <w:b/>
          <w:bCs/>
          <w:sz w:val="44"/>
          <w:szCs w:val="44"/>
          <w:lang w:val="en-US" w:eastAsia="zh-CN"/>
        </w:rPr>
      </w:pPr>
      <w:bookmarkStart w:id="15" w:name="_Toc10728"/>
      <w:bookmarkStart w:id="16" w:name="_Toc32336"/>
      <w:bookmarkStart w:id="17" w:name="_Toc10867"/>
      <w:bookmarkStart w:id="18" w:name="_Toc30326"/>
      <w:bookmarkStart w:id="19" w:name="_Toc10613"/>
      <w:bookmarkStart w:id="20" w:name="_Toc23538"/>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both"/>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河北科技师范学院</w:t>
      </w:r>
      <w:bookmarkEnd w:id="15"/>
      <w:bookmarkEnd w:id="16"/>
      <w:bookmarkEnd w:id="17"/>
      <w:bookmarkEnd w:id="18"/>
      <w:bookmarkEnd w:id="19"/>
      <w:bookmarkEnd w:id="20"/>
    </w:p>
    <w:p>
      <w:pPr>
        <w:jc w:val="center"/>
        <w:outlineLvl w:val="0"/>
        <w:rPr>
          <w:rFonts w:hint="eastAsia" w:ascii="黑体" w:hAnsi="黑体" w:eastAsia="黑体" w:cs="黑体"/>
          <w:b/>
          <w:bCs/>
          <w:sz w:val="44"/>
          <w:szCs w:val="44"/>
          <w:lang w:val="en-US" w:eastAsia="zh-CN"/>
        </w:rPr>
      </w:pPr>
      <w:bookmarkStart w:id="21" w:name="_Toc8609"/>
      <w:bookmarkStart w:id="22" w:name="_Toc23731"/>
      <w:bookmarkStart w:id="23" w:name="_Toc29920"/>
      <w:bookmarkStart w:id="24" w:name="_Toc23894"/>
      <w:bookmarkStart w:id="25" w:name="_Toc9198"/>
      <w:bookmarkStart w:id="26" w:name="_Toc18557"/>
      <w:r>
        <w:rPr>
          <w:rFonts w:hint="eastAsia" w:ascii="黑体" w:hAnsi="黑体" w:eastAsia="黑体" w:cs="黑体"/>
          <w:b/>
          <w:bCs/>
          <w:sz w:val="44"/>
          <w:szCs w:val="44"/>
          <w:lang w:val="en-US" w:eastAsia="zh-CN"/>
        </w:rPr>
        <w:t>2022年第四季度专利情况统计分析报告</w:t>
      </w:r>
      <w:bookmarkEnd w:id="21"/>
      <w:bookmarkEnd w:id="22"/>
      <w:bookmarkEnd w:id="23"/>
      <w:bookmarkEnd w:id="24"/>
      <w:bookmarkEnd w:id="25"/>
      <w:bookmarkEnd w:id="26"/>
    </w:p>
    <w:p>
      <w:pPr>
        <w:numPr>
          <w:ilvl w:val="0"/>
          <w:numId w:val="0"/>
        </w:numPr>
        <w:jc w:val="both"/>
        <w:outlineLvl w:val="9"/>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27" w:name="_Toc9885"/>
      <w:r>
        <w:rPr>
          <w:rFonts w:hint="eastAsia" w:ascii="黑体" w:hAnsi="黑体" w:eastAsia="黑体" w:cs="黑体"/>
          <w:b/>
          <w:bCs/>
          <w:sz w:val="32"/>
          <w:szCs w:val="32"/>
          <w:lang w:val="en-US" w:eastAsia="zh-CN"/>
        </w:rPr>
        <w:t>1.专利数量分析</w:t>
      </w:r>
      <w:bookmarkEnd w:id="27"/>
    </w:p>
    <w:p>
      <w:pPr>
        <w:spacing w:line="360" w:lineRule="auto"/>
        <w:ind w:firstLine="560" w:firstLineChars="200"/>
        <w:jc w:val="left"/>
        <w:rPr>
          <w:rFonts w:hint="default"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CNKI数据库和国家知识产权局专利检索及分析</w:t>
      </w:r>
      <w:r>
        <w:rPr>
          <w:rFonts w:hint="eastAsia" w:ascii="仿宋" w:hAnsi="仿宋" w:eastAsia="仿宋" w:cs="仿宋"/>
          <w:sz w:val="28"/>
          <w:szCs w:val="28"/>
        </w:rPr>
        <w:t>数据库检索，在</w:t>
      </w:r>
      <w:r>
        <w:rPr>
          <w:rFonts w:hint="eastAsia" w:ascii="仿宋" w:hAnsi="仿宋" w:eastAsia="仿宋" w:cs="仿宋"/>
          <w:sz w:val="28"/>
          <w:szCs w:val="28"/>
          <w:lang w:eastAsia="zh-CN"/>
        </w:rPr>
        <w:t>2022年第四季度</w:t>
      </w:r>
      <w:r>
        <w:rPr>
          <w:rFonts w:hint="eastAsia" w:ascii="仿宋" w:hAnsi="仿宋" w:eastAsia="仿宋" w:cs="仿宋"/>
          <w:sz w:val="28"/>
          <w:szCs w:val="28"/>
        </w:rPr>
        <w:t>，</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为申请人的专利公布公告37件</w:t>
      </w:r>
      <w:r>
        <w:rPr>
          <w:rFonts w:hint="eastAsia" w:ascii="仿宋" w:hAnsi="仿宋" w:eastAsia="仿宋" w:cs="仿宋"/>
          <w:sz w:val="28"/>
          <w:szCs w:val="28"/>
        </w:rPr>
        <w:t>，</w:t>
      </w:r>
      <w:r>
        <w:rPr>
          <w:rFonts w:hint="eastAsia" w:ascii="仿宋" w:hAnsi="仿宋" w:eastAsia="仿宋" w:cs="仿宋"/>
          <w:sz w:val="28"/>
          <w:szCs w:val="28"/>
          <w:lang w:val="en-US" w:eastAsia="zh-CN"/>
        </w:rPr>
        <w:t>具体分布情况见表1。2022年第四季度，我校申请专利总体趋于上升，2022年11月申请专利数量较多，总体趋势见图1。</w:t>
      </w:r>
    </w:p>
    <w:p>
      <w:pPr>
        <w:spacing w:line="480" w:lineRule="auto"/>
        <w:jc w:val="center"/>
        <w:rPr>
          <w:rFonts w:hint="eastAsia" w:ascii="黑体" w:hAnsi="黑体" w:eastAsia="黑体" w:cs="黑体"/>
          <w:b/>
          <w:bCs/>
          <w:sz w:val="32"/>
          <w:szCs w:val="32"/>
          <w:lang w:val="en-US" w:eastAsia="zh-CN"/>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2022年第四季度专利</w:t>
      </w:r>
      <w:r>
        <w:rPr>
          <w:rFonts w:hint="eastAsia" w:ascii="仿宋" w:hAnsi="仿宋" w:eastAsia="仿宋" w:cs="仿宋"/>
          <w:b/>
          <w:bCs/>
          <w:color w:val="000000"/>
          <w:kern w:val="0"/>
          <w:sz w:val="24"/>
          <w:szCs w:val="24"/>
          <w:lang w:bidi="ar"/>
        </w:rPr>
        <w:t>情况统计表</w:t>
      </w:r>
    </w:p>
    <w:tbl>
      <w:tblPr>
        <w:tblStyle w:val="8"/>
        <w:tblW w:w="4998" w:type="pct"/>
        <w:jc w:val="center"/>
        <w:shd w:val="clear" w:color="auto" w:fill="auto"/>
        <w:tblLayout w:type="autofit"/>
        <w:tblCellMar>
          <w:top w:w="0" w:type="dxa"/>
          <w:left w:w="0" w:type="dxa"/>
          <w:bottom w:w="0" w:type="dxa"/>
          <w:right w:w="0" w:type="dxa"/>
        </w:tblCellMar>
      </w:tblPr>
      <w:tblGrid>
        <w:gridCol w:w="4419"/>
        <w:gridCol w:w="3914"/>
      </w:tblGrid>
      <w:tr>
        <w:tblPrEx>
          <w:shd w:val="clear" w:color="auto" w:fill="auto"/>
          <w:tblCellMar>
            <w:top w:w="0" w:type="dxa"/>
            <w:left w:w="0" w:type="dxa"/>
            <w:bottom w:w="0" w:type="dxa"/>
            <w:right w:w="0" w:type="dxa"/>
          </w:tblCellMar>
        </w:tblPrEx>
        <w:trPr>
          <w:trHeight w:val="509"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公开日期</w:t>
            </w:r>
          </w:p>
        </w:tc>
        <w:tc>
          <w:tcPr>
            <w:tcW w:w="2348"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2022年10月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2022年11月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2022年12月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w:t>
            </w:r>
          </w:p>
        </w:tc>
      </w:tr>
    </w:tbl>
    <w:p>
      <w:pPr>
        <w:widowControl w:val="0"/>
        <w:numPr>
          <w:ilvl w:val="0"/>
          <w:numId w:val="0"/>
        </w:numPr>
        <w:tabs>
          <w:tab w:val="left" w:pos="312"/>
        </w:tabs>
        <w:jc w:val="both"/>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2022年第四季度专利总体趋势</w:t>
      </w: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p>
    <w:p>
      <w:pPr>
        <w:widowControl w:val="0"/>
        <w:numPr>
          <w:ilvl w:val="0"/>
          <w:numId w:val="0"/>
        </w:numPr>
        <w:tabs>
          <w:tab w:val="left" w:pos="312"/>
        </w:tabs>
        <w:jc w:val="center"/>
        <w:rPr>
          <w:rFonts w:hint="eastAsia" w:ascii="黑体" w:hAnsi="黑体" w:eastAsia="黑体" w:cs="黑体"/>
          <w:b/>
          <w:bCs/>
          <w:sz w:val="32"/>
          <w:szCs w:val="32"/>
          <w:lang w:val="en-US" w:eastAsia="zh-CN"/>
        </w:rPr>
      </w:pPr>
      <w:r>
        <w:rPr>
          <w:rFonts w:hint="eastAsia"/>
          <w:lang w:val="en-US" w:eastAsia="zh-CN"/>
        </w:rPr>
        <w:t xml:space="preserve"> </w:t>
      </w:r>
      <w:bookmarkStart w:id="28" w:name="_Toc6255"/>
      <w:r>
        <w:drawing>
          <wp:inline distT="0" distB="0" distL="114300" distR="114300">
            <wp:extent cx="4572000" cy="2743200"/>
            <wp:effectExtent l="4445" t="4445" r="14605" b="1460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2.专利类别分析</w:t>
      </w:r>
      <w:bookmarkEnd w:id="28"/>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四季度我校公布公告的专利类别，发明公开专利24件，发明授权专利9件，实用新型专利3件，外观设计专利1件。我校2022年第四季度专利类别主要集中在发明专利上，占比89.19%，说明我校专利创新水平较高，研发能力也比较强，具体情况参见图2。</w:t>
      </w:r>
    </w:p>
    <w:p>
      <w:pPr>
        <w:numPr>
          <w:ilvl w:val="0"/>
          <w:numId w:val="0"/>
        </w:numPr>
        <w:ind w:firstLine="482" w:firstLineChars="200"/>
        <w:jc w:val="center"/>
        <w:rPr>
          <w:rFonts w:hint="eastAsia" w:ascii="仿宋" w:hAnsi="仿宋" w:eastAsia="仿宋" w:cs="仿宋"/>
          <w:b/>
          <w:bCs/>
          <w:sz w:val="24"/>
          <w:szCs w:val="24"/>
          <w:lang w:val="en-US" w:eastAsia="zh-CN"/>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2022年第四季度专利类别分布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20" w:firstLineChars="200"/>
        <w:jc w:val="center"/>
        <w:rPr>
          <w:rFonts w:hint="default" w:ascii="仿宋" w:hAnsi="仿宋" w:cs="仿宋" w:eastAsiaTheme="minorEastAsia"/>
          <w:b/>
          <w:bCs/>
          <w:color w:val="000000"/>
          <w:kern w:val="0"/>
          <w:sz w:val="24"/>
          <w:szCs w:val="24"/>
          <w:lang w:val="en-US" w:eastAsia="zh-CN" w:bidi="ar"/>
        </w:rPr>
      </w:pPr>
      <w:r>
        <w:rPr>
          <w:rFonts w:hint="eastAsia"/>
          <w:lang w:val="en-US" w:eastAsia="zh-CN"/>
        </w:rPr>
        <w:t xml:space="preserve">  </w:t>
      </w:r>
      <w:r>
        <w:drawing>
          <wp:inline distT="0" distB="0" distL="114300" distR="114300">
            <wp:extent cx="4572000" cy="2743200"/>
            <wp:effectExtent l="4445" t="4445" r="1460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both"/>
        <w:outlineLvl w:val="0"/>
        <w:rPr>
          <w:rFonts w:hint="eastAsia" w:ascii="黑体" w:hAnsi="黑体" w:eastAsia="黑体" w:cs="黑体"/>
          <w:b/>
          <w:bCs/>
          <w:sz w:val="32"/>
          <w:szCs w:val="32"/>
          <w:lang w:val="en-US" w:eastAsia="zh-CN"/>
        </w:rPr>
      </w:pPr>
      <w:bookmarkStart w:id="29" w:name="_Toc12539"/>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3.学科分析</w:t>
      </w:r>
      <w:bookmarkEnd w:id="29"/>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综合分析2022年第四季度我校公布公告的专利学科关系，占比较多的学科有：轻工业手工业8件，化学5件，有机化工4件等，具体详情参见图3。</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ind w:firstLine="1205" w:firstLineChars="500"/>
        <w:jc w:val="both"/>
        <w:rPr>
          <w:rFonts w:hint="eastAsia" w:ascii="仿宋" w:hAnsi="仿宋" w:eastAsia="仿宋" w:cs="仿宋"/>
          <w:b/>
          <w:bCs/>
          <w:sz w:val="24"/>
          <w:szCs w:val="24"/>
          <w:lang w:val="en-US" w:eastAsia="zh-CN"/>
        </w:rPr>
      </w:pPr>
    </w:p>
    <w:p>
      <w:pPr>
        <w:numPr>
          <w:ilvl w:val="0"/>
          <w:numId w:val="0"/>
        </w:numPr>
        <w:ind w:firstLine="1205" w:firstLineChars="5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2022年第四季度专利学科分布</w:t>
      </w:r>
    </w:p>
    <w:p>
      <w:pPr>
        <w:numPr>
          <w:ilvl w:val="0"/>
          <w:numId w:val="0"/>
        </w:numPr>
        <w:ind w:firstLine="1205" w:firstLineChars="500"/>
        <w:jc w:val="both"/>
        <w:rPr>
          <w:rFonts w:hint="eastAsia" w:ascii="仿宋" w:hAnsi="仿宋" w:eastAsia="仿宋" w:cs="仿宋"/>
          <w:b/>
          <w:bCs/>
          <w:color w:val="000000"/>
          <w:kern w:val="0"/>
          <w:sz w:val="24"/>
          <w:szCs w:val="24"/>
          <w:lang w:val="en-US" w:eastAsia="zh-CN" w:bidi="ar"/>
        </w:rPr>
      </w:pPr>
    </w:p>
    <w:p>
      <w:pPr>
        <w:numPr>
          <w:ilvl w:val="0"/>
          <w:numId w:val="0"/>
        </w:numPr>
        <w:jc w:val="center"/>
      </w:pPr>
      <w:bookmarkStart w:id="30" w:name="_Toc18240"/>
      <w:r>
        <w:drawing>
          <wp:inline distT="0" distB="0" distL="114300" distR="114300">
            <wp:extent cx="4572000" cy="2743200"/>
            <wp:effectExtent l="4445" t="4445" r="14605" b="14605"/>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center"/>
        <w:rPr>
          <w:rFonts w:hint="eastAsia"/>
          <w:lang w:val="en-US" w:eastAsia="zh-CN"/>
        </w:rPr>
      </w:pPr>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4.主题词分析</w:t>
      </w:r>
      <w:bookmarkEnd w:id="30"/>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四季度我校公布公告的专利主题词，主要主题词中制备方法、层压机、电气自动化等主题词出现频率较高。次要主题词中固定连接、果腐病、固定带等主题词出现频率较高。下图列举频次较高的主要主题词和次要主题词，具体分布参见图4和图5。</w:t>
      </w: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2022年第四季度主要主题词分布</w:t>
      </w:r>
    </w:p>
    <w:p>
      <w:pPr>
        <w:numPr>
          <w:ilvl w:val="0"/>
          <w:numId w:val="0"/>
        </w:numPr>
        <w:spacing w:line="360" w:lineRule="auto"/>
        <w:jc w:val="center"/>
        <w:rPr>
          <w:rFonts w:hint="eastAsia" w:ascii="仿宋" w:hAnsi="仿宋" w:eastAsia="仿宋" w:cs="仿宋"/>
          <w:b/>
          <w:bCs/>
          <w:sz w:val="24"/>
          <w:szCs w:val="24"/>
          <w:lang w:val="en-US" w:eastAsia="zh-CN"/>
        </w:rPr>
      </w:pPr>
      <w:r>
        <w:drawing>
          <wp:inline distT="0" distB="0" distL="114300" distR="114300">
            <wp:extent cx="4572000" cy="2743200"/>
            <wp:effectExtent l="4445" t="4445" r="14605" b="14605"/>
            <wp:docPr id="1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2022年第四季度次要主题词分布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rPr>
          <w:rFonts w:hint="eastAsia"/>
          <w:lang w:val="en-US" w:eastAsia="zh-CN"/>
        </w:rPr>
      </w:pPr>
      <w:r>
        <w:drawing>
          <wp:inline distT="0" distB="0" distL="114300" distR="114300">
            <wp:extent cx="4572000" cy="2743200"/>
            <wp:effectExtent l="4445" t="4445" r="14605" b="14605"/>
            <wp:docPr id="1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both"/>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31" w:name="_Toc9952"/>
      <w:r>
        <w:rPr>
          <w:rFonts w:hint="eastAsia" w:ascii="黑体" w:hAnsi="黑体" w:eastAsia="黑体" w:cs="黑体"/>
          <w:b/>
          <w:bCs/>
          <w:sz w:val="32"/>
          <w:szCs w:val="32"/>
          <w:lang w:val="en-US" w:eastAsia="zh-CN"/>
        </w:rPr>
        <w:t>5.发明人分析</w:t>
      </w:r>
      <w:bookmarkEnd w:id="31"/>
      <w:r>
        <w:rPr>
          <w:rFonts w:hint="eastAsia" w:ascii="黑体" w:hAnsi="黑体" w:eastAsia="黑体" w:cs="黑体"/>
          <w:b w:val="0"/>
          <w:bCs w:val="0"/>
          <w:sz w:val="32"/>
          <w:szCs w:val="32"/>
          <w:lang w:val="en-US" w:eastAsia="zh-CN"/>
        </w:rPr>
        <w:t>（含合作者）</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综合分析2022年第四季度我校公布公告的专利发明人，</w:t>
      </w:r>
      <w:r>
        <w:rPr>
          <w:rFonts w:hint="default" w:ascii="仿宋" w:hAnsi="仿宋" w:eastAsia="仿宋" w:cs="仿宋"/>
          <w:sz w:val="28"/>
          <w:szCs w:val="28"/>
          <w:lang w:val="en-US" w:eastAsia="zh-CN"/>
        </w:rPr>
        <w:t>参与</w:t>
      </w:r>
      <w:r>
        <w:rPr>
          <w:rFonts w:hint="eastAsia" w:ascii="仿宋" w:hAnsi="仿宋" w:eastAsia="仿宋" w:cs="仿宋"/>
          <w:sz w:val="28"/>
          <w:szCs w:val="28"/>
          <w:lang w:val="en-US" w:eastAsia="zh-CN"/>
        </w:rPr>
        <w:t>三</w:t>
      </w:r>
      <w:r>
        <w:rPr>
          <w:rFonts w:hint="default" w:ascii="仿宋" w:hAnsi="仿宋" w:eastAsia="仿宋" w:cs="仿宋"/>
          <w:sz w:val="28"/>
          <w:szCs w:val="28"/>
          <w:lang w:val="en-US" w:eastAsia="zh-CN"/>
        </w:rPr>
        <w:t>件专利以上的</w:t>
      </w:r>
      <w:r>
        <w:rPr>
          <w:rFonts w:hint="eastAsia" w:ascii="仿宋" w:hAnsi="仿宋" w:eastAsia="仿宋" w:cs="仿宋"/>
          <w:sz w:val="28"/>
          <w:szCs w:val="28"/>
          <w:lang w:val="en-US" w:eastAsia="zh-CN"/>
        </w:rPr>
        <w:t>发明人</w:t>
      </w:r>
      <w:r>
        <w:rPr>
          <w:rFonts w:hint="default" w:ascii="仿宋" w:hAnsi="仿宋" w:eastAsia="仿宋" w:cs="仿宋"/>
          <w:sz w:val="28"/>
          <w:szCs w:val="28"/>
          <w:lang w:val="en-US" w:eastAsia="zh-CN"/>
        </w:rPr>
        <w:t>有</w:t>
      </w:r>
      <w:r>
        <w:rPr>
          <w:rFonts w:hint="eastAsia" w:ascii="仿宋" w:hAnsi="仿宋" w:eastAsia="仿宋" w:cs="仿宋"/>
          <w:sz w:val="28"/>
          <w:szCs w:val="28"/>
          <w:lang w:val="en-US" w:eastAsia="zh-CN"/>
        </w:rPr>
        <w:t>13</w:t>
      </w:r>
      <w:r>
        <w:rPr>
          <w:rFonts w:hint="default" w:ascii="仿宋" w:hAnsi="仿宋" w:eastAsia="仿宋" w:cs="仿宋"/>
          <w:sz w:val="28"/>
          <w:szCs w:val="28"/>
          <w:lang w:val="en-US" w:eastAsia="zh-CN"/>
        </w:rPr>
        <w:t>人</w:t>
      </w:r>
      <w:r>
        <w:rPr>
          <w:rFonts w:hint="eastAsia" w:ascii="仿宋" w:hAnsi="仿宋" w:eastAsia="仿宋" w:cs="仿宋"/>
          <w:sz w:val="28"/>
          <w:szCs w:val="28"/>
          <w:lang w:val="en-US" w:eastAsia="zh-CN"/>
        </w:rPr>
        <w:t>，具体情况参见表2。</w:t>
      </w:r>
    </w:p>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eastAsia" w:ascii="仿宋" w:hAnsi="仿宋" w:eastAsia="仿宋" w:cs="仿宋"/>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2022年第四季度专利发明人统</w:t>
      </w:r>
      <w:r>
        <w:rPr>
          <w:rFonts w:hint="eastAsia" w:ascii="仿宋" w:hAnsi="仿宋" w:eastAsia="仿宋" w:cs="仿宋"/>
          <w:b/>
          <w:bCs/>
          <w:color w:val="000000"/>
          <w:kern w:val="0"/>
          <w:sz w:val="24"/>
          <w:szCs w:val="24"/>
          <w:lang w:bidi="ar"/>
        </w:rPr>
        <w:t>计表</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482" w:firstLineChars="200"/>
        <w:jc w:val="center"/>
        <w:rPr>
          <w:rFonts w:hint="eastAsia" w:ascii="仿宋" w:hAnsi="仿宋" w:eastAsia="仿宋" w:cs="仿宋"/>
          <w:b/>
          <w:bCs/>
          <w:color w:val="000000"/>
          <w:kern w:val="0"/>
          <w:sz w:val="24"/>
          <w:szCs w:val="24"/>
          <w:lang w:bidi="ar"/>
        </w:rPr>
      </w:pPr>
    </w:p>
    <w:tbl>
      <w:tblPr>
        <w:tblStyle w:val="8"/>
        <w:tblW w:w="4998" w:type="pct"/>
        <w:jc w:val="center"/>
        <w:shd w:val="clear" w:color="auto" w:fill="auto"/>
        <w:tblLayout w:type="autofit"/>
        <w:tblCellMar>
          <w:top w:w="0" w:type="dxa"/>
          <w:left w:w="0" w:type="dxa"/>
          <w:bottom w:w="0" w:type="dxa"/>
          <w:right w:w="0" w:type="dxa"/>
        </w:tblCellMar>
      </w:tblPr>
      <w:tblGrid>
        <w:gridCol w:w="1069"/>
        <w:gridCol w:w="1636"/>
        <w:gridCol w:w="1395"/>
        <w:gridCol w:w="1199"/>
        <w:gridCol w:w="1642"/>
        <w:gridCol w:w="1392"/>
      </w:tblGrid>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杨越冬</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梁力曼</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牛奎</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孙伟明</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杜彬</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温晓蕾</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冯丽娜</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吴艳军</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彭飞</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张亮</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王同坤</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邹萍</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侯文龙</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p>
        </w:tc>
        <w:tc>
          <w:tcPr>
            <w:tcW w:w="985"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bl>
    <w:p>
      <w:pPr>
        <w:pStyle w:val="14"/>
        <w:numPr>
          <w:ilvl w:val="0"/>
          <w:numId w:val="0"/>
        </w:numPr>
        <w:spacing w:before="156" w:beforeLines="50" w:after="156" w:afterLines="50" w:line="432" w:lineRule="auto"/>
        <w:ind w:firstLine="0"/>
        <w:outlineLvl w:val="0"/>
        <w:rPr>
          <w:rFonts w:hint="eastAsia" w:ascii="黑体" w:hAnsi="黑体" w:eastAsia="黑体" w:cs="黑体"/>
          <w:b/>
          <w:bCs/>
          <w:kern w:val="2"/>
          <w:sz w:val="32"/>
          <w:szCs w:val="32"/>
          <w:lang w:val="en-US" w:eastAsia="zh-CN" w:bidi="ar-SA"/>
        </w:rPr>
      </w:pPr>
      <w:bookmarkStart w:id="32" w:name="_Toc20469"/>
      <w:bookmarkStart w:id="33" w:name="_Toc16727"/>
      <w:bookmarkStart w:id="34" w:name="_Toc6690"/>
    </w:p>
    <w:p>
      <w:pPr>
        <w:pStyle w:val="14"/>
        <w:numPr>
          <w:ilvl w:val="0"/>
          <w:numId w:val="0"/>
        </w:numPr>
        <w:spacing w:before="156" w:beforeLines="50" w:after="156" w:afterLines="50" w:line="432" w:lineRule="auto"/>
        <w:ind w:firstLine="0"/>
        <w:outlineLvl w:val="0"/>
        <w:rPr>
          <w:rFonts w:hint="default" w:ascii="黑体" w:hAnsi="黑体" w:eastAsia="黑体" w:cs="黑体"/>
          <w:b/>
          <w:bCs/>
          <w:color w:val="auto"/>
          <w:kern w:val="2"/>
          <w:sz w:val="32"/>
          <w:szCs w:val="32"/>
          <w:lang w:val="en-US" w:eastAsia="zh-CN" w:bidi="ar-SA"/>
        </w:rPr>
      </w:pPr>
      <w:r>
        <w:rPr>
          <w:rFonts w:hint="eastAsia" w:ascii="黑体" w:hAnsi="黑体" w:eastAsia="黑体" w:cs="黑体"/>
          <w:b/>
          <w:bCs/>
          <w:kern w:val="2"/>
          <w:sz w:val="32"/>
          <w:szCs w:val="32"/>
          <w:lang w:val="en-US" w:eastAsia="zh-CN" w:bidi="ar-SA"/>
        </w:rPr>
        <w:t>6.</w:t>
      </w:r>
      <w:r>
        <w:rPr>
          <w:rFonts w:hint="eastAsia" w:ascii="黑体" w:hAnsi="黑体" w:eastAsia="黑体" w:cs="黑体"/>
          <w:b/>
          <w:bCs/>
          <w:color w:val="auto"/>
          <w:kern w:val="2"/>
          <w:sz w:val="32"/>
          <w:szCs w:val="32"/>
          <w:lang w:val="en-US" w:eastAsia="zh-CN" w:bidi="ar-SA"/>
        </w:rPr>
        <w:t>技术领域与产业构成</w:t>
      </w:r>
      <w:bookmarkEnd w:id="32"/>
      <w:bookmarkEnd w:id="33"/>
      <w:r>
        <w:rPr>
          <w:rFonts w:hint="eastAsia" w:ascii="黑体" w:hAnsi="黑体" w:eastAsia="黑体" w:cs="黑体"/>
          <w:b/>
          <w:bCs/>
          <w:color w:val="auto"/>
          <w:kern w:val="2"/>
          <w:sz w:val="32"/>
          <w:szCs w:val="32"/>
          <w:lang w:val="en-US" w:eastAsia="zh-CN" w:bidi="ar-SA"/>
        </w:rPr>
        <w:t>分析</w:t>
      </w:r>
      <w:bookmarkEnd w:id="34"/>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firstLine="560" w:firstLineChars="200"/>
        <w:jc w:val="left"/>
        <w:rPr>
          <w:rFonts w:hint="default" w:ascii="仿宋" w:hAnsi="仿宋" w:eastAsia="仿宋"/>
          <w:color w:val="333333"/>
          <w:sz w:val="28"/>
          <w:szCs w:val="24"/>
          <w:shd w:val="clear" w:color="auto" w:fill="FFFFFF"/>
          <w:lang w:val="en-US" w:eastAsia="zh-CN"/>
        </w:rPr>
      </w:pPr>
      <w:r>
        <w:rPr>
          <w:rFonts w:hint="eastAsia" w:ascii="仿宋" w:hAnsi="仿宋" w:eastAsia="仿宋" w:cs="仿宋"/>
          <w:sz w:val="28"/>
          <w:szCs w:val="28"/>
          <w:lang w:val="en-US" w:eastAsia="zh-CN"/>
        </w:rPr>
        <w:t>综合分析2022年第四季度我校公布公告的专利，其</w:t>
      </w:r>
      <w:r>
        <w:rPr>
          <w:rFonts w:hint="eastAsia" w:ascii="仿宋" w:hAnsi="仿宋" w:eastAsia="仿宋"/>
          <w:color w:val="000000"/>
          <w:sz w:val="28"/>
          <w:szCs w:val="24"/>
        </w:rPr>
        <w:t>主要集中在IPC分类中的下面几个大类：</w:t>
      </w:r>
      <w:r>
        <w:rPr>
          <w:rFonts w:hint="eastAsia" w:ascii="仿宋" w:hAnsi="仿宋" w:eastAsia="仿宋"/>
          <w:color w:val="000000"/>
          <w:sz w:val="28"/>
          <w:szCs w:val="24"/>
          <w:lang w:val="en-US" w:eastAsia="zh-CN"/>
        </w:rPr>
        <w:t>B01(</w:t>
      </w:r>
      <w:r>
        <w:rPr>
          <w:rFonts w:hint="eastAsia" w:ascii="仿宋" w:hAnsi="仿宋" w:eastAsia="仿宋"/>
          <w:color w:val="333333"/>
          <w:sz w:val="28"/>
          <w:szCs w:val="24"/>
          <w:shd w:val="clear" w:color="auto" w:fill="FFFFFF"/>
        </w:rPr>
        <w:t>一般的物理或化学的方法或装置</w:t>
      </w:r>
      <w:r>
        <w:rPr>
          <w:rFonts w:hint="eastAsia" w:ascii="仿宋" w:hAnsi="仿宋" w:eastAsia="仿宋"/>
          <w:color w:val="000000"/>
          <w:sz w:val="28"/>
          <w:szCs w:val="24"/>
          <w:lang w:val="en-US" w:eastAsia="zh-CN"/>
        </w:rPr>
        <w:t>);</w:t>
      </w:r>
      <w:r>
        <w:rPr>
          <w:rFonts w:hint="eastAsia" w:ascii="仿宋" w:hAnsi="仿宋" w:eastAsia="仿宋"/>
          <w:color w:val="333333"/>
          <w:sz w:val="28"/>
          <w:szCs w:val="24"/>
          <w:shd w:val="clear" w:color="auto" w:fill="FFFFFF"/>
        </w:rPr>
        <w:t>A</w:t>
      </w:r>
      <w:r>
        <w:rPr>
          <w:rFonts w:hint="eastAsia" w:ascii="仿宋" w:hAnsi="仿宋" w:eastAsia="仿宋"/>
          <w:color w:val="333333"/>
          <w:sz w:val="28"/>
          <w:szCs w:val="24"/>
          <w:shd w:val="clear" w:color="auto" w:fill="FFFFFF"/>
          <w:lang w:val="en-US" w:eastAsia="zh-CN"/>
        </w:rPr>
        <w:t>0</w:t>
      </w:r>
      <w:r>
        <w:rPr>
          <w:rFonts w:hint="eastAsia" w:ascii="仿宋" w:hAnsi="仿宋" w:eastAsia="仿宋"/>
          <w:color w:val="333333"/>
          <w:sz w:val="28"/>
          <w:szCs w:val="24"/>
          <w:shd w:val="clear" w:color="auto" w:fill="FFFFFF"/>
        </w:rPr>
        <w:t>1（农业；林业；畜牧业；狩猎；诱捕；捕鱼）</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lang w:val="en-US" w:eastAsia="zh-CN"/>
        </w:rPr>
        <w:t>C12</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rPr>
        <w:t>糖工业</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lang w:val="en-US" w:eastAsia="zh-CN"/>
        </w:rPr>
        <w:t>A47（</w:t>
      </w:r>
      <w:r>
        <w:rPr>
          <w:rFonts w:hint="eastAsia" w:ascii="仿宋" w:hAnsi="仿宋" w:eastAsia="仿宋"/>
          <w:color w:val="333333"/>
          <w:sz w:val="28"/>
          <w:szCs w:val="24"/>
          <w:shd w:val="clear" w:color="auto" w:fill="FFFFFF"/>
        </w:rPr>
        <w:t>家具；家庭用的物品或设备；咖啡磨；香料磨；一般吸尘器</w:t>
      </w:r>
      <w:r>
        <w:rPr>
          <w:rFonts w:hint="eastAsia" w:ascii="仿宋" w:hAnsi="仿宋" w:eastAsia="仿宋"/>
          <w:color w:val="333333"/>
          <w:sz w:val="28"/>
          <w:szCs w:val="24"/>
          <w:shd w:val="clear" w:color="auto" w:fill="FFFFFF"/>
          <w:lang w:val="en-US" w:eastAsia="zh-CN"/>
        </w:rPr>
        <w:t>）、B65（</w:t>
      </w:r>
      <w:r>
        <w:rPr>
          <w:rFonts w:hint="eastAsia" w:ascii="仿宋" w:hAnsi="仿宋" w:eastAsia="仿宋"/>
          <w:color w:val="333333"/>
          <w:sz w:val="28"/>
          <w:szCs w:val="24"/>
          <w:shd w:val="clear" w:color="auto" w:fill="FFFFFF"/>
        </w:rPr>
        <w:t>输送；包装；贮存；搬运薄的或细丝状材料</w:t>
      </w:r>
      <w:r>
        <w:rPr>
          <w:rFonts w:hint="eastAsia" w:ascii="仿宋" w:hAnsi="仿宋" w:eastAsia="仿宋"/>
          <w:color w:val="333333"/>
          <w:sz w:val="28"/>
          <w:szCs w:val="24"/>
          <w:shd w:val="clear" w:color="auto" w:fill="FFFFFF"/>
          <w:lang w:val="en-US" w:eastAsia="zh-CN"/>
        </w:rPr>
        <w:t>）等，详情参见图6。</w:t>
      </w:r>
    </w:p>
    <w:p>
      <w:pPr>
        <w:pStyle w:val="14"/>
        <w:numPr>
          <w:ilvl w:val="0"/>
          <w:numId w:val="0"/>
        </w:numPr>
        <w:spacing w:line="480" w:lineRule="auto"/>
        <w:ind w:firstLine="0"/>
        <w:jc w:val="center"/>
        <w:rPr>
          <w:rFonts w:hint="eastAsia" w:ascii="仿宋" w:hAnsi="仿宋" w:eastAsia="仿宋"/>
          <w:b/>
          <w:sz w:val="24"/>
          <w:szCs w:val="24"/>
        </w:rPr>
      </w:pPr>
    </w:p>
    <w:p>
      <w:pPr>
        <w:pStyle w:val="14"/>
        <w:numPr>
          <w:ilvl w:val="0"/>
          <w:numId w:val="0"/>
        </w:numPr>
        <w:spacing w:line="480" w:lineRule="auto"/>
        <w:ind w:firstLine="0"/>
        <w:jc w:val="center"/>
        <w:rPr>
          <w:rFonts w:hint="default" w:ascii="仿宋" w:hAnsi="仿宋" w:eastAsia="仿宋"/>
          <w:color w:val="333333"/>
          <w:sz w:val="28"/>
          <w:szCs w:val="24"/>
          <w:shd w:val="clear" w:color="auto" w:fill="FFFFFF"/>
          <w:lang w:val="en-US" w:eastAsia="zh-CN"/>
        </w:rPr>
      </w:pPr>
      <w:r>
        <w:rPr>
          <w:rFonts w:hint="eastAsia" w:ascii="仿宋" w:hAnsi="仿宋" w:eastAsia="仿宋"/>
          <w:b/>
          <w:sz w:val="24"/>
          <w:szCs w:val="24"/>
        </w:rPr>
        <w:t>图</w:t>
      </w:r>
      <w:r>
        <w:rPr>
          <w:rFonts w:hint="eastAsia" w:ascii="仿宋" w:hAnsi="仿宋" w:eastAsia="仿宋"/>
          <w:b/>
          <w:sz w:val="24"/>
          <w:szCs w:val="24"/>
          <w:lang w:val="en-US" w:eastAsia="zh-CN"/>
        </w:rPr>
        <w:t>6</w:t>
      </w:r>
      <w:r>
        <w:rPr>
          <w:rFonts w:hint="eastAsia" w:ascii="仿宋" w:hAnsi="仿宋" w:eastAsia="仿宋"/>
          <w:b/>
          <w:sz w:val="24"/>
          <w:szCs w:val="24"/>
        </w:rPr>
        <w:t>：河北科技师范学院</w:t>
      </w:r>
      <w:r>
        <w:rPr>
          <w:rFonts w:hint="eastAsia" w:ascii="仿宋" w:hAnsi="仿宋" w:eastAsia="仿宋"/>
          <w:b/>
          <w:sz w:val="24"/>
          <w:szCs w:val="24"/>
          <w:lang w:val="en-US" w:eastAsia="zh-CN"/>
        </w:rPr>
        <w:t>2022年第四季度</w:t>
      </w:r>
      <w:r>
        <w:rPr>
          <w:rFonts w:hint="eastAsia" w:ascii="仿宋" w:hAnsi="仿宋" w:eastAsia="仿宋"/>
          <w:b/>
          <w:sz w:val="24"/>
          <w:szCs w:val="24"/>
        </w:rPr>
        <w:t>专利技术领域与产业</w:t>
      </w:r>
      <w:r>
        <w:rPr>
          <w:rFonts w:hint="eastAsia" w:ascii="仿宋" w:hAnsi="仿宋" w:eastAsia="仿宋"/>
          <w:b/>
          <w:sz w:val="24"/>
          <w:szCs w:val="24"/>
          <w:lang w:val="en-US" w:eastAsia="zh-CN"/>
        </w:rPr>
        <w:t>构成分布</w:t>
      </w:r>
    </w:p>
    <w:p>
      <w:pPr>
        <w:numPr>
          <w:ilvl w:val="0"/>
          <w:numId w:val="0"/>
        </w:numPr>
        <w:jc w:val="center"/>
        <w:outlineLvl w:val="9"/>
        <w:rPr>
          <w:rFonts w:hint="eastAsia"/>
          <w:lang w:val="en-US" w:eastAsia="zh-CN"/>
        </w:rPr>
      </w:pPr>
      <w:r>
        <w:drawing>
          <wp:inline distT="0" distB="0" distL="114300" distR="114300">
            <wp:extent cx="4572000" cy="2743200"/>
            <wp:effectExtent l="4445" t="4445" r="14605" b="14605"/>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numPr>
          <w:ilvl w:val="0"/>
          <w:numId w:val="0"/>
        </w:numPr>
        <w:jc w:val="both"/>
        <w:outlineLvl w:val="0"/>
        <w:rPr>
          <w:rFonts w:hint="eastAsia" w:ascii="黑体" w:hAnsi="黑体" w:eastAsia="黑体" w:cs="黑体"/>
          <w:b/>
          <w:bCs/>
          <w:sz w:val="32"/>
          <w:szCs w:val="32"/>
          <w:lang w:val="en-US" w:eastAsia="zh-CN"/>
        </w:rPr>
      </w:pPr>
      <w:bookmarkStart w:id="35" w:name="_Toc23978"/>
    </w:p>
    <w:p>
      <w:pPr>
        <w:numPr>
          <w:ilvl w:val="0"/>
          <w:numId w:val="0"/>
        </w:numPr>
        <w:jc w:val="both"/>
        <w:outlineLvl w:val="0"/>
        <w:rPr>
          <w:rFonts w:hint="eastAsia" w:ascii="黑体" w:hAnsi="黑体" w:eastAsia="黑体" w:cs="黑体"/>
          <w:b/>
          <w:bCs/>
          <w:sz w:val="32"/>
          <w:szCs w:val="32"/>
          <w:highlight w:val="yellow"/>
          <w:lang w:val="en-US" w:eastAsia="zh-CN"/>
        </w:rPr>
      </w:pPr>
      <w:r>
        <w:rPr>
          <w:rFonts w:hint="eastAsia" w:ascii="黑体" w:hAnsi="黑体" w:eastAsia="黑体" w:cs="黑体"/>
          <w:b/>
          <w:bCs/>
          <w:sz w:val="32"/>
          <w:szCs w:val="32"/>
          <w:lang w:val="en-US" w:eastAsia="zh-CN"/>
        </w:rPr>
        <w:t>7.申</w:t>
      </w:r>
      <w:r>
        <w:rPr>
          <w:rFonts w:hint="eastAsia" w:ascii="黑体" w:hAnsi="黑体" w:eastAsia="黑体" w:cs="黑体"/>
          <w:b/>
          <w:bCs/>
          <w:sz w:val="32"/>
          <w:szCs w:val="32"/>
          <w:highlight w:val="none"/>
          <w:lang w:val="en-US" w:eastAsia="zh-CN"/>
        </w:rPr>
        <w:t>请机构分析</w:t>
      </w:r>
      <w:bookmarkEnd w:id="35"/>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综合分析2022年第四季度我校公布公告的专利申请机构，河北科技师范学院申请专利36件，占比97.30%；河北科技师范学院联合其他机构申请专利共计1件，占比2.7%；具体分布参见图7。</w:t>
      </w:r>
    </w:p>
    <w:p>
      <w:pPr>
        <w:numPr>
          <w:ilvl w:val="0"/>
          <w:numId w:val="0"/>
        </w:numPr>
        <w:spacing w:line="360" w:lineRule="auto"/>
        <w:jc w:val="both"/>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2022年第四季度专利申请机构分布</w:t>
      </w: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813050"/>
            <wp:effectExtent l="4445" t="4445" r="14605" b="20955"/>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eastAsia" w:ascii="黑体" w:hAnsi="黑体" w:eastAsia="黑体" w:cs="黑体"/>
          <w:b/>
          <w:bCs/>
          <w:sz w:val="32"/>
          <w:szCs w:val="32"/>
          <w:lang w:val="en-US" w:eastAsia="zh-CN"/>
        </w:rPr>
      </w:pPr>
      <w:bookmarkStart w:id="36" w:name="_Toc29"/>
      <w:r>
        <w:rPr>
          <w:rFonts w:hint="eastAsia" w:ascii="黑体" w:hAnsi="黑体" w:eastAsia="黑体" w:cs="黑体"/>
          <w:b/>
          <w:bCs/>
          <w:sz w:val="32"/>
          <w:szCs w:val="32"/>
          <w:lang w:val="en-US" w:eastAsia="zh-CN"/>
        </w:rPr>
        <w:t>8.代理机构分析</w:t>
      </w:r>
      <w:bookmarkEnd w:id="36"/>
    </w:p>
    <w:p>
      <w:pPr>
        <w:spacing w:line="48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综合分析2022年第四季度我校公布公告的37件专利，代理申请机构共21家，其中北京慕达星云知识产权代理事务所、北京超凡宏宇专利代理事务所代理申请专利数量较多，具体代理机构分布参见表3。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2022年第四季度专利代理机构统</w:t>
      </w:r>
      <w:r>
        <w:rPr>
          <w:rFonts w:hint="eastAsia" w:ascii="仿宋" w:hAnsi="仿宋" w:eastAsia="仿宋" w:cs="仿宋"/>
          <w:b/>
          <w:bCs/>
          <w:color w:val="000000"/>
          <w:kern w:val="0"/>
          <w:sz w:val="24"/>
          <w:szCs w:val="24"/>
          <w:lang w:bidi="ar"/>
        </w:rPr>
        <w:t>计表</w:t>
      </w:r>
    </w:p>
    <w:tbl>
      <w:tblPr>
        <w:tblStyle w:val="8"/>
        <w:tblW w:w="4998" w:type="pct"/>
        <w:tblInd w:w="0" w:type="dxa"/>
        <w:shd w:val="clear" w:color="auto" w:fill="auto"/>
        <w:tblLayout w:type="autofit"/>
        <w:tblCellMar>
          <w:top w:w="0" w:type="dxa"/>
          <w:left w:w="0" w:type="dxa"/>
          <w:bottom w:w="0" w:type="dxa"/>
          <w:right w:w="0" w:type="dxa"/>
        </w:tblCellMar>
      </w:tblPr>
      <w:tblGrid>
        <w:gridCol w:w="1560"/>
        <w:gridCol w:w="5074"/>
        <w:gridCol w:w="1699"/>
      </w:tblGrid>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北京超凡宏宇专利代理事务所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北京棘龙知识产权代理有限公司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西安铭泽知识产权代理事务所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北京方政卫士专利代理事务所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北京鑫知翼知识产权代理事务所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深圳泛航知识产权代理事务所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无锡睿升知识产权代理事务所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numPr>
          <w:ilvl w:val="0"/>
          <w:numId w:val="0"/>
        </w:numPr>
        <w:ind w:leftChars="0"/>
        <w:jc w:val="both"/>
        <w:outlineLvl w:val="0"/>
        <w:rPr>
          <w:rFonts w:hint="default" w:ascii="黑体" w:hAnsi="黑体" w:eastAsia="黑体" w:cs="黑体"/>
          <w:b/>
          <w:bCs/>
          <w:sz w:val="32"/>
          <w:szCs w:val="32"/>
          <w:lang w:val="en-US" w:eastAsia="zh-CN"/>
        </w:rPr>
      </w:pPr>
      <w:bookmarkStart w:id="38" w:name="_GoBack"/>
      <w:bookmarkEnd w:id="38"/>
      <w:bookmarkStart w:id="37" w:name="_Toc17108"/>
      <w:r>
        <w:rPr>
          <w:rFonts w:hint="eastAsia" w:ascii="黑体" w:hAnsi="黑体" w:eastAsia="黑体" w:cs="黑体"/>
          <w:b/>
          <w:bCs/>
          <w:sz w:val="32"/>
          <w:szCs w:val="32"/>
          <w:lang w:val="en-US" w:eastAsia="zh-CN"/>
        </w:rPr>
        <w:t>9.综合分析</w:t>
      </w:r>
      <w:bookmarkEnd w:id="37"/>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4"/>
          <w:szCs w:val="24"/>
        </w:rPr>
      </w:pPr>
      <w:r>
        <w:rPr>
          <w:rFonts w:hint="eastAsia" w:ascii="仿宋" w:hAnsi="仿宋" w:eastAsia="仿宋" w:cs="仿宋"/>
          <w:sz w:val="28"/>
          <w:szCs w:val="28"/>
          <w:lang w:val="en-US" w:eastAsia="zh-CN"/>
        </w:rPr>
        <w:t>综上，本报告分析了</w:t>
      </w:r>
      <w:r>
        <w:rPr>
          <w:rFonts w:hint="eastAsia" w:ascii="仿宋" w:hAnsi="仿宋" w:eastAsia="仿宋" w:cs="仿宋"/>
          <w:sz w:val="28"/>
          <w:szCs w:val="28"/>
          <w:lang w:eastAsia="zh-CN"/>
        </w:rPr>
        <w:t>2022年第四季度</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为申请人公布公告的专利</w:t>
      </w:r>
      <w:r>
        <w:rPr>
          <w:rFonts w:hint="eastAsia" w:ascii="仿宋" w:hAnsi="仿宋" w:eastAsia="仿宋" w:cs="仿宋"/>
          <w:sz w:val="28"/>
          <w:szCs w:val="28"/>
        </w:rPr>
        <w:t>，</w:t>
      </w:r>
      <w:r>
        <w:rPr>
          <w:rFonts w:hint="eastAsia" w:ascii="仿宋" w:hAnsi="仿宋" w:eastAsia="仿宋" w:cs="仿宋"/>
          <w:sz w:val="28"/>
          <w:szCs w:val="28"/>
          <w:lang w:val="en-US" w:eastAsia="zh-CN"/>
        </w:rPr>
        <w:t>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p>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eastAsia" w:ascii="Arial"/>
          <w:color w:val="4AC1DD"/>
          <w:sz w:val="230"/>
          <w:szCs w:val="24"/>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oNotHyphenateCaps/>
  <w:drawingGridHorizontalSpacing w:val="105"/>
  <w:drawingGridVerticalSpacing w:val="285"/>
  <w:displayHorizontalDrawingGridEvery w:val="1"/>
  <w:displayVerticalDrawingGridEvery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172A27"/>
    <w:rsid w:val="003C5849"/>
    <w:rsid w:val="0B6D1B6C"/>
    <w:rsid w:val="0CC56CA9"/>
    <w:rsid w:val="3B380AF6"/>
    <w:rsid w:val="456B524E"/>
    <w:rsid w:val="5BDB3ECE"/>
    <w:rsid w:val="60581879"/>
    <w:rsid w:val="78FA3A9C"/>
    <w:rsid w:val="79BF69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uiPriority="99" w:semiHidden="0" w:name="header"/>
    <w:lsdException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uiPriority="99" w:semiHidden="0"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39" w:semiHidden="0" w:name="Table Grid"/>
    <w:lsdException w:qFormat="1" w:unhideWhenUsed="0" w:uiPriority="99"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rPr>
  </w:style>
  <w:style w:type="character" w:default="1" w:styleId="9">
    <w:name w:val="Default Paragraph Font"/>
    <w:unhideWhenUsed/>
    <w:uiPriority w:val="99"/>
    <w:rPr>
      <w:rFonts w:hint="default"/>
      <w:sz w:val="24"/>
      <w:szCs w:val="24"/>
    </w:rPr>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1"/>
    <w:pPr>
      <w:ind w:left="20"/>
    </w:pPr>
    <w:rPr>
      <w:rFonts w:hint="eastAsia" w:ascii="微软雅黑" w:hAnsi="微软雅黑" w:eastAsia="微软雅黑"/>
      <w:sz w:val="41"/>
      <w:szCs w:val="24"/>
    </w:rPr>
  </w:style>
  <w:style w:type="paragraph" w:styleId="3">
    <w:name w:val="footer"/>
    <w:basedOn w:val="1"/>
    <w:link w:val="18"/>
    <w:unhideWhenUsed/>
    <w:uiPriority w:val="99"/>
    <w:pPr>
      <w:tabs>
        <w:tab w:val="center" w:pos="4153"/>
        <w:tab w:val="right" w:pos="8306"/>
      </w:tabs>
      <w:snapToGrid w:val="0"/>
      <w:spacing w:line="240" w:lineRule="atLeast"/>
      <w:jc w:val="left"/>
    </w:pPr>
    <w:rPr>
      <w:rFonts w:hint="eastAsia"/>
      <w:sz w:val="18"/>
      <w:szCs w:val="24"/>
    </w:rPr>
  </w:style>
  <w:style w:type="paragraph" w:styleId="4">
    <w:name w:val="header"/>
    <w:basedOn w:val="1"/>
    <w:link w:val="16"/>
    <w:unhideWhenUsed/>
    <w:uiPriority w:val="99"/>
    <w:pPr>
      <w:pBdr>
        <w:bottom w:val="single" w:color="auto" w:sz="6" w:space="1"/>
      </w:pBdr>
      <w:tabs>
        <w:tab w:val="center" w:pos="4153"/>
        <w:tab w:val="right" w:pos="8306"/>
      </w:tabs>
      <w:snapToGrid w:val="0"/>
      <w:spacing w:line="240" w:lineRule="atLeast"/>
      <w:jc w:val="center"/>
    </w:pPr>
    <w:rPr>
      <w:rFonts w:hint="eastAsia"/>
      <w:sz w:val="18"/>
      <w:szCs w:val="24"/>
    </w:rPr>
  </w:style>
  <w:style w:type="paragraph" w:styleId="5">
    <w:name w:val="toc 1"/>
    <w:basedOn w:val="1"/>
    <w:next w:val="1"/>
    <w:unhideWhenUsed/>
    <w:qFormat/>
    <w:uiPriority w:val="39"/>
    <w:rPr>
      <w:rFonts w:hint="eastAsia"/>
      <w:sz w:val="21"/>
      <w:szCs w:val="24"/>
    </w:rPr>
  </w:style>
  <w:style w:type="paragraph" w:styleId="6">
    <w:name w:val="toc 2"/>
    <w:basedOn w:val="1"/>
    <w:next w:val="1"/>
    <w:unhideWhenUsed/>
    <w:uiPriority w:val="0"/>
    <w:pPr>
      <w:ind w:left="420" w:leftChars="200"/>
    </w:pPr>
    <w:rPr>
      <w:rFonts w:hint="eastAsia"/>
      <w:sz w:val="21"/>
      <w:szCs w:val="24"/>
    </w:rPr>
  </w:style>
  <w:style w:type="paragraph" w:styleId="7">
    <w:name w:val="Normal (Web)"/>
    <w:basedOn w:val="1"/>
    <w:unhideWhenUsed/>
    <w:qFormat/>
    <w:uiPriority w:val="99"/>
    <w:pPr>
      <w:widowControl/>
      <w:spacing w:before="100" w:beforeAutospacing="1" w:after="100" w:afterAutospacing="1"/>
      <w:jc w:val="left"/>
    </w:pPr>
    <w:rPr>
      <w:rFonts w:hint="eastAsia" w:ascii="宋体" w:hAnsi="宋体"/>
      <w:sz w:val="24"/>
      <w:szCs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unhideWhenUsed/>
    <w:qFormat/>
    <w:uiPriority w:val="99"/>
    <w:rPr>
      <w:rFonts w:hint="default"/>
      <w:color w:val="0000FF"/>
      <w:sz w:val="24"/>
      <w:szCs w:val="24"/>
      <w:u w:val="single"/>
    </w:rPr>
  </w:style>
  <w:style w:type="paragraph" w:customStyle="1" w:styleId="12">
    <w:name w:val="WPSOffice手动目录 1"/>
    <w:unhideWhenUsed/>
    <w:uiPriority w:val="0"/>
    <w:pPr>
      <w:spacing w:beforeLines="0" w:afterLines="0"/>
    </w:pPr>
    <w:rPr>
      <w:rFonts w:hint="default" w:ascii="Times New Roman" w:hAnsi="Times New Roman" w:eastAsia="宋体" w:cs="Times New Roman"/>
      <w:sz w:val="20"/>
      <w:szCs w:val="24"/>
    </w:rPr>
  </w:style>
  <w:style w:type="paragraph" w:customStyle="1" w:styleId="13">
    <w:name w:val="WPSOffice手动目录 2"/>
    <w:unhideWhenUsed/>
    <w:uiPriority w:val="0"/>
    <w:pPr>
      <w:spacing w:beforeLines="0" w:afterLines="0"/>
      <w:ind w:leftChars="200"/>
    </w:pPr>
    <w:rPr>
      <w:rFonts w:hint="default" w:ascii="Times New Roman" w:hAnsi="Times New Roman" w:eastAsia="宋体" w:cs="Times New Roman"/>
      <w:sz w:val="20"/>
      <w:szCs w:val="24"/>
    </w:rPr>
  </w:style>
  <w:style w:type="paragraph" w:styleId="14">
    <w:name w:val="List Paragraph"/>
    <w:basedOn w:val="1"/>
    <w:unhideWhenUsed/>
    <w:qFormat/>
    <w:uiPriority w:val="34"/>
    <w:pPr>
      <w:ind w:firstLine="420" w:firstLineChars="200"/>
    </w:pPr>
    <w:rPr>
      <w:rFonts w:hint="eastAsia"/>
      <w:sz w:val="21"/>
      <w:szCs w:val="24"/>
    </w:rPr>
  </w:style>
  <w:style w:type="paragraph" w:styleId="15">
    <w:name w:val="No Spacing"/>
    <w:link w:val="17"/>
    <w:unhideWhenUsed/>
    <w:qFormat/>
    <w:uiPriority w:val="1"/>
    <w:rPr>
      <w:rFonts w:hint="eastAsia" w:ascii="等线" w:hAnsi="等线" w:eastAsia="等线" w:cs="Times New Roman"/>
      <w:sz w:val="22"/>
      <w:szCs w:val="24"/>
      <w:lang w:val="en-US" w:eastAsia="zh-CN"/>
    </w:rPr>
  </w:style>
  <w:style w:type="character" w:customStyle="1" w:styleId="16">
    <w:name w:val="页眉 字符"/>
    <w:basedOn w:val="9"/>
    <w:link w:val="4"/>
    <w:unhideWhenUsed/>
    <w:locked/>
    <w:uiPriority w:val="99"/>
    <w:rPr>
      <w:rFonts w:hint="eastAsia" w:ascii="Times New Roman" w:hAnsi="Times New Roman" w:eastAsia="宋体"/>
      <w:sz w:val="18"/>
      <w:szCs w:val="24"/>
    </w:rPr>
  </w:style>
  <w:style w:type="character" w:customStyle="1" w:styleId="17">
    <w:name w:val="无间隔 字符"/>
    <w:link w:val="15"/>
    <w:unhideWhenUsed/>
    <w:qFormat/>
    <w:locked/>
    <w:uiPriority w:val="1"/>
    <w:rPr>
      <w:rFonts w:hint="default"/>
      <w:sz w:val="22"/>
      <w:szCs w:val="24"/>
    </w:rPr>
  </w:style>
  <w:style w:type="character" w:customStyle="1" w:styleId="18">
    <w:name w:val="页脚 字符"/>
    <w:basedOn w:val="9"/>
    <w:link w:val="3"/>
    <w:unhideWhenUsed/>
    <w:locked/>
    <w:uiPriority w:val="99"/>
    <w:rPr>
      <w:rFonts w:hint="eastAsia" w:ascii="Times New Roman" w:hAnsi="Times New Roman" w:eastAsia="宋体"/>
      <w:sz w:val="18"/>
      <w:szCs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022&#31532;&#22235;&#23395;&#24230;&#19987;&#21033;&#24773;&#20917;&#32479;&#35745;\CNKI-2022&#31532;&#22235;&#23395;&#24230;&#19987;&#21033;&#24635;&#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22&#31532;&#22235;&#23395;&#24230;&#19987;&#21033;&#24773;&#20917;&#32479;&#35745;\CNKI-2022&#31532;&#22235;&#23395;&#24230;&#19987;&#21033;&#24635;&#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2&#31532;&#22235;&#23395;&#24230;&#19987;&#21033;&#24773;&#20917;&#32479;&#35745;\CNKI-2022&#31532;&#22235;&#23395;&#24230;&#19987;&#21033;&#24635;&#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2&#31532;&#22235;&#23395;&#24230;&#19987;&#21033;&#24773;&#20917;&#32479;&#35745;\CNKI-2022&#31532;&#22235;&#23395;&#24230;&#19987;&#21033;&#24635;&#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2&#31532;&#22235;&#23395;&#24230;&#19987;&#21033;&#24773;&#20917;&#32479;&#35745;\CNKI-2022&#31532;&#22235;&#23395;&#24230;&#19987;&#21033;&#24635;&#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022&#31532;&#22235;&#23395;&#24230;&#19987;&#21033;&#24773;&#20917;&#32479;&#35745;\CNKI-2022&#31532;&#22235;&#23395;&#24230;&#19987;&#21033;&#24635;&#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2&#31532;&#22235;&#23395;&#24230;&#19987;&#21033;&#24773;&#20917;&#32479;&#35745;\CNKI-2022&#31532;&#22235;&#23395;&#24230;&#19987;&#21033;&#24635;&#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dk1">
                    <a:lumMod val="50000"/>
                    <a:lumOff val="50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'[CNKI-2022第四季度专利总表.xlsx]数量'!$A$2:$A$4</c:f>
              <c:numCache>
                <c:formatCode>yyyy"年"m"月"</c:formatCode>
                <c:ptCount val="3"/>
                <c:pt idx="0" c:formatCode="yyyy&quot;年&quot;m&quot;月&quot;">
                  <c:v>44835</c:v>
                </c:pt>
                <c:pt idx="1" c:formatCode="yyyy&quot;年&quot;m&quot;月&quot;">
                  <c:v>44866</c:v>
                </c:pt>
                <c:pt idx="2" c:formatCode="yyyy&quot;年&quot;m&quot;月&quot;">
                  <c:v>44896</c:v>
                </c:pt>
              </c:numCache>
            </c:numRef>
          </c:cat>
          <c:val>
            <c:numRef>
              <c:f>'[CNKI-2022第四季度专利总表.xlsx]数量'!$B$2:$B$4</c:f>
              <c:numCache>
                <c:formatCode>General</c:formatCode>
                <c:ptCount val="3"/>
                <c:pt idx="0">
                  <c:v>8</c:v>
                </c:pt>
                <c:pt idx="1">
                  <c:v>18</c:v>
                </c:pt>
                <c:pt idx="2">
                  <c:v>11</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945971035"/>
        <c:axId val="313190405"/>
      </c:lineChart>
      <c:dateAx>
        <c:axId val="945971035"/>
        <c:scaling>
          <c:orientation val="minMax"/>
        </c:scaling>
        <c:delete val="0"/>
        <c:axPos val="b"/>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313190405"/>
        <c:crosses val="autoZero"/>
        <c:auto val="1"/>
        <c:lblOffset val="100"/>
        <c:baseTimeUnit val="months"/>
      </c:dateAx>
      <c:valAx>
        <c:axId val="31319040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945971035"/>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manualLayout>
          <c:xMode val="edge"/>
          <c:yMode val="edge"/>
          <c:x val="0.410277777777778"/>
          <c:y val="0.03125"/>
        </c:manualLayout>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'[CNKI-2022第四季度专利总表.xlsx]专利类别'!$C$2:$C$5</c:f>
              <c:strCache>
                <c:ptCount val="4"/>
                <c:pt idx="0">
                  <c:v>发明公开</c:v>
                </c:pt>
                <c:pt idx="1">
                  <c:v>发明授权</c:v>
                </c:pt>
                <c:pt idx="2">
                  <c:v>实用新型</c:v>
                </c:pt>
                <c:pt idx="3">
                  <c:v>外观设计</c:v>
                </c:pt>
              </c:strCache>
            </c:strRef>
          </c:cat>
          <c:val>
            <c:numRef>
              <c:f>'[CNKI-2022第四季度专利总表.xlsx]专利类别'!$D$2:$D$5</c:f>
              <c:numCache>
                <c:formatCode>@</c:formatCode>
                <c:ptCount val="4"/>
                <c:pt idx="0">
                  <c:v>24</c:v>
                </c:pt>
                <c:pt idx="1">
                  <c:v>9</c:v>
                </c:pt>
                <c:pt idx="2">
                  <c:v>3</c:v>
                </c:pt>
                <c:pt idx="3">
                  <c:v>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'[CNKI-2022第四季度专利总表.xlsx]学科'!$E$2:$E$12</c:f>
              <c:strCache>
                <c:ptCount val="11"/>
                <c:pt idx="0">
                  <c:v>轻工业手工业</c:v>
                </c:pt>
                <c:pt idx="1">
                  <c:v>化学</c:v>
                </c:pt>
                <c:pt idx="2">
                  <c:v>有机化工</c:v>
                </c:pt>
                <c:pt idx="3">
                  <c:v>工业通用技术及设备</c:v>
                </c:pt>
                <c:pt idx="4">
                  <c:v>生物学</c:v>
                </c:pt>
                <c:pt idx="5">
                  <c:v>机械工业</c:v>
                </c:pt>
                <c:pt idx="6">
                  <c:v>电力工业</c:v>
                </c:pt>
                <c:pt idx="7">
                  <c:v>无机化工</c:v>
                </c:pt>
                <c:pt idx="8">
                  <c:v>建筑科学与工程</c:v>
                </c:pt>
                <c:pt idx="9">
                  <c:v>无线电电子学</c:v>
                </c:pt>
                <c:pt idx="10">
                  <c:v>农艺学</c:v>
                </c:pt>
              </c:strCache>
            </c:strRef>
          </c:cat>
          <c:val>
            <c:numRef>
              <c:f>'[CNKI-2022第四季度专利总表.xlsx]学科'!$F$2:$F$12</c:f>
              <c:numCache>
                <c:formatCode>General</c:formatCode>
                <c:ptCount val="11"/>
                <c:pt idx="0">
                  <c:v>8</c:v>
                </c:pt>
                <c:pt idx="1">
                  <c:v>5</c:v>
                </c:pt>
                <c:pt idx="2">
                  <c:v>4</c:v>
                </c:pt>
                <c:pt idx="3">
                  <c:v>3</c:v>
                </c:pt>
                <c:pt idx="4">
                  <c:v>3</c:v>
                </c:pt>
                <c:pt idx="5">
                  <c:v>2</c:v>
                </c:pt>
                <c:pt idx="6">
                  <c:v>2</c:v>
                </c:pt>
                <c:pt idx="7">
                  <c:v>2</c:v>
                </c:pt>
                <c:pt idx="8">
                  <c:v>2</c:v>
                </c:pt>
                <c:pt idx="9">
                  <c:v>2</c:v>
                </c:pt>
                <c:pt idx="10">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'[CNKI-2022第四季度专利总表.xlsx]主题'!$E$2:$E$12</c:f>
              <c:strCache>
                <c:ptCount val="11"/>
                <c:pt idx="0">
                  <c:v>制备方法</c:v>
                </c:pt>
                <c:pt idx="1">
                  <c:v>层压机</c:v>
                </c:pt>
                <c:pt idx="2">
                  <c:v>电气自动化</c:v>
                </c:pt>
                <c:pt idx="3">
                  <c:v>板栗壳</c:v>
                </c:pt>
                <c:pt idx="4">
                  <c:v>北苍术</c:v>
                </c:pt>
                <c:pt idx="5">
                  <c:v>改性壳聚糖</c:v>
                </c:pt>
                <c:pt idx="6">
                  <c:v>体育教学</c:v>
                </c:pt>
                <c:pt idx="7">
                  <c:v>雨水收集</c:v>
                </c:pt>
                <c:pt idx="8">
                  <c:v>炭复合材料</c:v>
                </c:pt>
                <c:pt idx="9">
                  <c:v>照明装置</c:v>
                </c:pt>
                <c:pt idx="10">
                  <c:v>高校实践教学</c:v>
                </c:pt>
              </c:strCache>
            </c:strRef>
          </c:cat>
          <c:val>
            <c:numRef>
              <c:f>'[CNKI-2022第四季度专利总表.xlsx]主题'!$F$2:$F$12</c:f>
              <c:numCache>
                <c:formatCode>General</c:formatCode>
                <c:ptCount val="11"/>
                <c:pt idx="0">
                  <c:v>7</c:v>
                </c:pt>
                <c:pt idx="1">
                  <c:v>3</c:v>
                </c:pt>
                <c:pt idx="2">
                  <c:v>2</c:v>
                </c:pt>
                <c:pt idx="3">
                  <c:v>2</c:v>
                </c:pt>
                <c:pt idx="4">
                  <c:v>1</c:v>
                </c:pt>
                <c:pt idx="5">
                  <c:v>1</c:v>
                </c:pt>
                <c:pt idx="6">
                  <c:v>1</c:v>
                </c:pt>
                <c:pt idx="7">
                  <c:v>1</c:v>
                </c:pt>
                <c:pt idx="8">
                  <c:v>1</c:v>
                </c:pt>
                <c:pt idx="9">
                  <c:v>1</c:v>
                </c:pt>
                <c:pt idx="10">
                  <c:v>1</c:v>
                </c:pt>
              </c:numCache>
            </c:numRef>
          </c:val>
        </c:ser>
        <c:dLbls>
          <c:showLegendKey val="0"/>
          <c:showVal val="1"/>
          <c:showCatName val="0"/>
          <c:showSerName val="0"/>
          <c:showPercent val="0"/>
          <c:showBubbleSize val="0"/>
        </c:dLbls>
        <c:gapWidth val="219"/>
        <c:overlap val="-27"/>
        <c:axId val="625353528"/>
        <c:axId val="364510109"/>
      </c:barChart>
      <c:catAx>
        <c:axId val="6253535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4510109"/>
        <c:crosses val="autoZero"/>
        <c:auto val="1"/>
        <c:lblAlgn val="ctr"/>
        <c:lblOffset val="100"/>
        <c:noMultiLvlLbl val="0"/>
      </c:catAx>
      <c:valAx>
        <c:axId val="36451010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5353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次要主题分布</a:t>
            </a:r>
          </a:p>
        </c:rich>
      </c:tx>
      <c:layout>
        <c:manualLayout>
          <c:xMode val="edge"/>
          <c:yMode val="edge"/>
          <c:x val="0.408194444444444"/>
          <c:y val="0.0416666666666667"/>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'[CNKI-2022第四季度专利总表.xlsx]主题'!$L$2:$L$12</c:f>
              <c:strCache>
                <c:ptCount val="11"/>
                <c:pt idx="0">
                  <c:v>固定连接</c:v>
                </c:pt>
                <c:pt idx="1">
                  <c:v>果腐病</c:v>
                </c:pt>
                <c:pt idx="2">
                  <c:v>固定带</c:v>
                </c:pt>
                <c:pt idx="3">
                  <c:v>伸缩杆</c:v>
                </c:pt>
                <c:pt idx="4">
                  <c:v>板栗仁</c:v>
                </c:pt>
                <c:pt idx="5">
                  <c:v>防治效果</c:v>
                </c:pt>
                <c:pt idx="6">
                  <c:v>猕猴桃果实</c:v>
                </c:pt>
                <c:pt idx="7">
                  <c:v>驱动齿轮</c:v>
                </c:pt>
                <c:pt idx="8">
                  <c:v>α淀粉</c:v>
                </c:pt>
                <c:pt idx="9">
                  <c:v>棘孢木霉</c:v>
                </c:pt>
                <c:pt idx="10">
                  <c:v>电源插头</c:v>
                </c:pt>
              </c:strCache>
            </c:strRef>
          </c:cat>
          <c:val>
            <c:numRef>
              <c:f>'[CNKI-2022第四季度专利总表.xlsx]主题'!$M$2:$M$12</c:f>
              <c:numCache>
                <c:formatCode>General</c:formatCode>
                <c:ptCount val="11"/>
                <c:pt idx="0">
                  <c:v>7</c:v>
                </c:pt>
                <c:pt idx="1">
                  <c:v>2</c:v>
                </c:pt>
                <c:pt idx="2">
                  <c:v>2</c:v>
                </c:pt>
                <c:pt idx="3">
                  <c:v>2</c:v>
                </c:pt>
                <c:pt idx="4">
                  <c:v>2</c:v>
                </c:pt>
                <c:pt idx="5">
                  <c:v>2</c:v>
                </c:pt>
                <c:pt idx="6">
                  <c:v>1</c:v>
                </c:pt>
                <c:pt idx="7">
                  <c:v>1</c:v>
                </c:pt>
                <c:pt idx="8">
                  <c:v>1</c:v>
                </c:pt>
                <c:pt idx="9">
                  <c:v>1</c:v>
                </c:pt>
                <c:pt idx="10">
                  <c:v>1</c:v>
                </c:pt>
              </c:numCache>
            </c:numRef>
          </c:val>
        </c:ser>
        <c:dLbls>
          <c:showLegendKey val="0"/>
          <c:showVal val="1"/>
          <c:showCatName val="0"/>
          <c:showSerName val="0"/>
          <c:showPercent val="0"/>
          <c:showBubbleSize val="0"/>
        </c:dLbls>
        <c:gapWidth val="219"/>
        <c:overlap val="-27"/>
        <c:axId val="975941195"/>
        <c:axId val="916622631"/>
      </c:barChart>
      <c:catAx>
        <c:axId val="9759411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6622631"/>
        <c:crosses val="autoZero"/>
        <c:auto val="1"/>
        <c:lblAlgn val="ctr"/>
        <c:lblOffset val="100"/>
        <c:noMultiLvlLbl val="0"/>
      </c:catAx>
      <c:valAx>
        <c:axId val="916622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59411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技术领域与产业构成分析</a:t>
            </a:r>
          </a:p>
        </c:rich>
      </c:tx>
      <c:layout>
        <c:manualLayout>
          <c:xMode val="edge"/>
          <c:yMode val="edge"/>
          <c:x val="0.237361111111111"/>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'[CNKI-2022第四季度专利总表.xlsx]IPC'!$C$3:$C$20</c:f>
              <c:strCache>
                <c:ptCount val="18"/>
                <c:pt idx="0">
                  <c:v>B01</c:v>
                </c:pt>
                <c:pt idx="1">
                  <c:v>A01</c:v>
                </c:pt>
                <c:pt idx="2">
                  <c:v>C12</c:v>
                </c:pt>
                <c:pt idx="3">
                  <c:v>A47</c:v>
                </c:pt>
                <c:pt idx="4">
                  <c:v>B65</c:v>
                </c:pt>
                <c:pt idx="5">
                  <c:v>A23</c:v>
                </c:pt>
                <c:pt idx="6">
                  <c:v>A61</c:v>
                </c:pt>
                <c:pt idx="7">
                  <c:v>E03</c:v>
                </c:pt>
                <c:pt idx="8">
                  <c:v>H01</c:v>
                </c:pt>
                <c:pt idx="9">
                  <c:v>A63</c:v>
                </c:pt>
                <c:pt idx="10">
                  <c:v>B23</c:v>
                </c:pt>
                <c:pt idx="11">
                  <c:v>C07</c:v>
                </c:pt>
                <c:pt idx="12">
                  <c:v>C08</c:v>
                </c:pt>
                <c:pt idx="13">
                  <c:v>F16</c:v>
                </c:pt>
                <c:pt idx="14">
                  <c:v>F21</c:v>
                </c:pt>
                <c:pt idx="15">
                  <c:v>G01</c:v>
                </c:pt>
                <c:pt idx="16">
                  <c:v>G06</c:v>
                </c:pt>
                <c:pt idx="17">
                  <c:v>G09</c:v>
                </c:pt>
              </c:strCache>
            </c:strRef>
          </c:cat>
          <c:val>
            <c:numRef>
              <c:f>'[CNKI-2022第四季度专利总表.xlsx]IPC'!$D$3:$D$20</c:f>
              <c:numCache>
                <c:formatCode>@</c:formatCode>
                <c:ptCount val="18"/>
                <c:pt idx="0">
                  <c:v>5</c:v>
                </c:pt>
                <c:pt idx="1">
                  <c:v>4</c:v>
                </c:pt>
                <c:pt idx="2">
                  <c:v>4</c:v>
                </c:pt>
                <c:pt idx="3">
                  <c:v>3</c:v>
                </c:pt>
                <c:pt idx="4">
                  <c:v>3</c:v>
                </c:pt>
                <c:pt idx="5">
                  <c:v>2</c:v>
                </c:pt>
                <c:pt idx="6">
                  <c:v>2</c:v>
                </c:pt>
                <c:pt idx="7">
                  <c:v>2</c:v>
                </c:pt>
                <c:pt idx="8">
                  <c:v>2</c:v>
                </c:pt>
                <c:pt idx="9">
                  <c:v>1</c:v>
                </c:pt>
                <c:pt idx="10">
                  <c:v>1</c:v>
                </c:pt>
                <c:pt idx="11">
                  <c:v>1</c:v>
                </c:pt>
                <c:pt idx="12">
                  <c:v>1</c:v>
                </c:pt>
                <c:pt idx="13">
                  <c:v>1</c:v>
                </c:pt>
                <c:pt idx="14">
                  <c:v>1</c:v>
                </c:pt>
                <c:pt idx="15">
                  <c:v>1</c:v>
                </c:pt>
                <c:pt idx="16">
                  <c:v>1</c:v>
                </c:pt>
                <c:pt idx="17">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'[CNKI-2022第四季度专利总表.xlsx]申请机构'!$C$1:$C$2</c:f>
              <c:strCache>
                <c:ptCount val="2"/>
                <c:pt idx="0">
                  <c:v>河北科技师范学院</c:v>
                </c:pt>
                <c:pt idx="1">
                  <c:v>河北科技师范学院+其他机构</c:v>
                </c:pt>
              </c:strCache>
            </c:strRef>
          </c:cat>
          <c:val>
            <c:numRef>
              <c:f>'[CNKI-2022第四季度专利总表.xlsx]申请机构'!$D$1:$D$2</c:f>
              <c:numCache>
                <c:formatCode>General</c:formatCode>
                <c:ptCount val="2"/>
                <c:pt idx="0">
                  <c:v>36</c:v>
                </c:pt>
                <c:pt idx="1">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1836</Words>
  <Characters>1987</Characters>
  <TotalTime>2</TotalTime>
  <ScaleCrop>false</ScaleCrop>
  <LinksUpToDate>false</LinksUpToDate>
  <CharactersWithSpaces>2033</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ym</cp:lastModifiedBy>
  <dcterms:modified xsi:type="dcterms:W3CDTF">2023-04-12T01:55:19Z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55800B5F88B5493DA75F3E47F422650E_13</vt:lpwstr>
  </property>
</Properties>
</file>