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8</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8</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2023年第二季度发文分析报告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2023年第二季度发文分析报告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20864"/>
      <w:bookmarkStart w:id="1" w:name="_Toc10099"/>
      <w:bookmarkStart w:id="2" w:name="_Toc28842"/>
      <w:r>
        <w:rPr>
          <w:rFonts w:hint="eastAsia" w:ascii="宋体" w:hAnsi="宋体" w:eastAsia="宋体" w:cs="宋体"/>
          <w:b/>
          <w:bCs/>
          <w:sz w:val="24"/>
          <w:szCs w:val="24"/>
        </w:rPr>
        <w:t>数据来源</w:t>
      </w:r>
      <w:bookmarkEnd w:id="0"/>
      <w:bookmarkEnd w:id="1"/>
      <w:bookmarkEnd w:id="2"/>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2023年</w:t>
      </w:r>
      <w:r>
        <w:rPr>
          <w:rFonts w:hint="eastAsia" w:ascii="宋体" w:hAnsi="宋体" w:eastAsia="宋体" w:cs="宋体"/>
          <w:sz w:val="24"/>
          <w:szCs w:val="24"/>
          <w:lang w:val="en-US" w:eastAsia="zh-CN"/>
        </w:rPr>
        <w:t>08</w:t>
      </w:r>
      <w:r>
        <w:rPr>
          <w:rFonts w:hint="eastAsia" w:ascii="宋体" w:hAnsi="宋体" w:eastAsia="宋体" w:cs="宋体"/>
          <w:sz w:val="24"/>
          <w:szCs w:val="24"/>
        </w:rPr>
        <w:t>月</w:t>
      </w:r>
      <w:r>
        <w:rPr>
          <w:rFonts w:hint="eastAsia" w:ascii="宋体" w:hAnsi="宋体" w:eastAsia="宋体" w:cs="宋体"/>
          <w:sz w:val="24"/>
          <w:szCs w:val="24"/>
          <w:lang w:val="en-US" w:eastAsia="zh-CN"/>
        </w:rPr>
        <w:t>08</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2023年08</w:t>
      </w:r>
      <w:r>
        <w:rPr>
          <w:rFonts w:hint="eastAsia" w:ascii="宋体" w:hAnsi="宋体" w:eastAsia="宋体" w:cs="宋体"/>
          <w:sz w:val="24"/>
          <w:szCs w:val="24"/>
        </w:rPr>
        <w:t>月</w:t>
      </w:r>
      <w:r>
        <w:rPr>
          <w:rFonts w:hint="eastAsia" w:ascii="宋体" w:hAnsi="宋体" w:eastAsia="宋体" w:cs="宋体"/>
          <w:sz w:val="24"/>
          <w:szCs w:val="24"/>
          <w:lang w:val="en-US" w:eastAsia="zh-CN"/>
        </w:rPr>
        <w:t>20</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3" w:name="_Toc27687"/>
      <w:bookmarkStart w:id="4" w:name="_Toc9355"/>
      <w:bookmarkStart w:id="5" w:name="_Toc14137"/>
      <w:r>
        <w:rPr>
          <w:rFonts w:hint="eastAsia" w:ascii="宋体" w:hAnsi="宋体" w:eastAsia="宋体" w:cs="宋体"/>
          <w:b/>
          <w:bCs/>
          <w:sz w:val="24"/>
          <w:szCs w:val="24"/>
        </w:rPr>
        <w:t>数据处理</w:t>
      </w:r>
      <w:bookmarkEnd w:id="3"/>
      <w:bookmarkEnd w:id="4"/>
      <w:bookmarkEnd w:id="5"/>
    </w:p>
    <w:p>
      <w:pPr>
        <w:spacing w:line="480" w:lineRule="auto"/>
        <w:ind w:firstLine="480" w:firstLineChars="200"/>
        <w:outlineLvl w:val="0"/>
        <w:rPr>
          <w:rFonts w:hint="eastAsia" w:ascii="宋体" w:hAnsi="宋体" w:eastAsia="宋体" w:cs="宋体"/>
          <w:sz w:val="24"/>
          <w:szCs w:val="24"/>
        </w:rPr>
      </w:pPr>
      <w:bookmarkStart w:id="6" w:name="_Toc1528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8" w:name="_Toc30686"/>
      <w:bookmarkStart w:id="9" w:name="_Toc24960"/>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8"/>
      <w:bookmarkEnd w:id="9"/>
      <w:bookmarkEnd w:id="10"/>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11" w:name="_Toc13037"/>
      <w:bookmarkStart w:id="12" w:name="_Toc6620"/>
      <w:bookmarkStart w:id="13" w:name="_Toc1663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11"/>
      <w:bookmarkEnd w:id="12"/>
      <w:bookmarkEnd w:id="13"/>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14" w:name="_Toc26929"/>
      <w:bookmarkStart w:id="15" w:name="_Toc10613"/>
      <w:bookmarkStart w:id="16" w:name="_Toc9858"/>
      <w:bookmarkStart w:id="17" w:name="_Toc7382"/>
      <w:r>
        <w:rPr>
          <w:rFonts w:hint="eastAsia" w:ascii="黑体" w:hAnsi="黑体" w:eastAsia="黑体" w:cs="黑体"/>
          <w:b/>
          <w:bCs/>
          <w:sz w:val="44"/>
          <w:szCs w:val="44"/>
          <w:lang w:val="en-US" w:eastAsia="zh-CN"/>
        </w:rPr>
        <w:t>河北科技师范学院</w:t>
      </w:r>
      <w:bookmarkEnd w:id="14"/>
      <w:bookmarkEnd w:id="15"/>
      <w:bookmarkEnd w:id="16"/>
      <w:bookmarkEnd w:id="17"/>
    </w:p>
    <w:p>
      <w:pPr>
        <w:jc w:val="center"/>
        <w:outlineLvl w:val="0"/>
        <w:rPr>
          <w:rFonts w:hint="eastAsia" w:ascii="黑体" w:hAnsi="黑体" w:eastAsia="黑体" w:cs="黑体"/>
          <w:b/>
          <w:bCs/>
          <w:sz w:val="44"/>
          <w:szCs w:val="44"/>
          <w:lang w:val="en-US" w:eastAsia="zh-CN"/>
        </w:rPr>
      </w:pPr>
      <w:bookmarkStart w:id="18" w:name="_Toc15096"/>
      <w:bookmarkStart w:id="19" w:name="_Toc8013"/>
      <w:bookmarkStart w:id="20" w:name="_Toc28898"/>
      <w:bookmarkStart w:id="21" w:name="_Toc9198"/>
      <w:r>
        <w:rPr>
          <w:rFonts w:hint="eastAsia" w:ascii="黑体" w:hAnsi="黑体" w:eastAsia="黑体" w:cs="黑体"/>
          <w:b/>
          <w:bCs/>
          <w:sz w:val="44"/>
          <w:szCs w:val="44"/>
          <w:lang w:val="en-US" w:eastAsia="zh-CN"/>
        </w:rPr>
        <w:t>2023年第二季度发文分析报告</w:t>
      </w:r>
      <w:bookmarkEnd w:id="18"/>
      <w:bookmarkEnd w:id="19"/>
      <w:bookmarkEnd w:id="20"/>
      <w:bookmarkEnd w:id="2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22" w:name="_Toc7154"/>
      <w:bookmarkStart w:id="23" w:name="_Toc3849"/>
      <w:r>
        <w:rPr>
          <w:rFonts w:hint="eastAsia" w:ascii="黑体" w:hAnsi="黑体" w:eastAsia="黑体" w:cs="黑体"/>
          <w:b/>
          <w:bCs/>
          <w:sz w:val="32"/>
          <w:szCs w:val="32"/>
          <w:lang w:val="en-US" w:eastAsia="zh-CN"/>
        </w:rPr>
        <w:t>中文发文情况统计分析</w:t>
      </w:r>
      <w:bookmarkEnd w:id="22"/>
      <w:bookmarkEnd w:id="23"/>
    </w:p>
    <w:p>
      <w:pPr>
        <w:numPr>
          <w:ilvl w:val="0"/>
          <w:numId w:val="2"/>
        </w:numPr>
        <w:jc w:val="both"/>
        <w:outlineLvl w:val="1"/>
        <w:rPr>
          <w:rFonts w:hint="eastAsia" w:ascii="仿宋" w:hAnsi="仿宋" w:eastAsia="仿宋" w:cs="仿宋"/>
          <w:b/>
          <w:bCs/>
          <w:sz w:val="30"/>
          <w:szCs w:val="30"/>
          <w:lang w:val="en-US" w:eastAsia="zh-CN"/>
        </w:rPr>
      </w:pPr>
      <w:bookmarkStart w:id="24" w:name="_Toc30099"/>
      <w:bookmarkStart w:id="25" w:name="_Toc10954"/>
      <w:r>
        <w:rPr>
          <w:rFonts w:hint="eastAsia" w:ascii="仿宋" w:hAnsi="仿宋" w:eastAsia="仿宋" w:cs="仿宋"/>
          <w:b/>
          <w:bCs/>
          <w:sz w:val="30"/>
          <w:szCs w:val="30"/>
          <w:lang w:val="en-US" w:eastAsia="zh-CN"/>
        </w:rPr>
        <w:t>发文量分析</w:t>
      </w:r>
      <w:bookmarkEnd w:id="24"/>
      <w:bookmarkEnd w:id="2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2023年</w:t>
      </w:r>
      <w:r>
        <w:rPr>
          <w:rFonts w:hint="eastAsia" w:ascii="仿宋" w:hAnsi="仿宋" w:eastAsia="仿宋" w:cs="仿宋"/>
          <w:sz w:val="28"/>
          <w:szCs w:val="28"/>
          <w:lang w:val="en-US" w:eastAsia="zh-CN"/>
        </w:rPr>
        <w:t>第二季度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130</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43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100</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76.92</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2023年4月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2023年5月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34</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2023年6月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54</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38</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Style w:val="12"/>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130</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100</w:t>
            </w:r>
          </w:p>
        </w:tc>
      </w:tr>
    </w:tbl>
    <w:p>
      <w:pPr>
        <w:numPr>
          <w:ilvl w:val="0"/>
          <w:numId w:val="0"/>
        </w:numPr>
        <w:jc w:val="both"/>
        <w:outlineLvl w:val="1"/>
        <w:rPr>
          <w:rFonts w:hint="eastAsia" w:ascii="仿宋" w:hAnsi="仿宋" w:eastAsia="仿宋" w:cs="仿宋"/>
          <w:b/>
          <w:bCs/>
          <w:sz w:val="30"/>
          <w:szCs w:val="30"/>
          <w:lang w:val="en-US" w:eastAsia="zh-CN"/>
        </w:rPr>
      </w:pPr>
      <w:bookmarkStart w:id="26" w:name="_Toc25622"/>
    </w:p>
    <w:p>
      <w:pPr>
        <w:numPr>
          <w:ilvl w:val="0"/>
          <w:numId w:val="0"/>
        </w:numPr>
        <w:jc w:val="both"/>
        <w:outlineLvl w:val="1"/>
        <w:rPr>
          <w:rFonts w:hint="eastAsia" w:ascii="仿宋" w:hAnsi="仿宋" w:eastAsia="仿宋" w:cs="仿宋"/>
          <w:b/>
          <w:bCs/>
          <w:sz w:val="30"/>
          <w:szCs w:val="30"/>
          <w:lang w:val="en-US" w:eastAsia="zh-CN"/>
        </w:rPr>
      </w:pPr>
      <w:bookmarkStart w:id="27" w:name="_Toc2778"/>
      <w:r>
        <w:rPr>
          <w:rFonts w:hint="eastAsia" w:ascii="仿宋" w:hAnsi="仿宋" w:eastAsia="仿宋" w:cs="仿宋"/>
          <w:b/>
          <w:bCs/>
          <w:sz w:val="30"/>
          <w:szCs w:val="30"/>
          <w:lang w:val="en-US" w:eastAsia="zh-CN"/>
        </w:rPr>
        <w:t>2.论文主题分析</w:t>
      </w:r>
      <w:bookmarkEnd w:id="26"/>
      <w:bookmarkEnd w:id="27"/>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在2023年第二季度国内公开发表的130篇论文中，通过对主要主题词分析得到频次较高的主题词分布为：分离鉴定、河北省、桃、冀东地区等，具体分布频次详见图1。</w:t>
      </w: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在2023年第二季度国内公开发表的130篇论文中，通过对次要主题词分析得到频次较高的主题词分布为：干物质积累、毒力基因、发病率等，具体分布频次详见图2。</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pPr>
      <w:bookmarkStart w:id="28" w:name="_Toc9501"/>
      <w:r>
        <w:drawing>
          <wp:inline distT="0" distB="0" distL="114300" distR="114300">
            <wp:extent cx="4572000" cy="2743200"/>
            <wp:effectExtent l="4445" t="4445" r="14605" b="14605"/>
            <wp:docPr id="1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spacing w:line="480" w:lineRule="auto"/>
        <w:jc w:val="center"/>
        <w:rPr>
          <w:rFonts w:hint="eastAsia"/>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29" w:name="_Toc20173"/>
      <w:r>
        <w:rPr>
          <w:rFonts w:hint="eastAsia" w:ascii="仿宋" w:hAnsi="仿宋" w:eastAsia="仿宋" w:cs="仿宋"/>
          <w:b/>
          <w:bCs/>
          <w:sz w:val="30"/>
          <w:szCs w:val="30"/>
          <w:lang w:val="en-US" w:eastAsia="zh-CN"/>
        </w:rPr>
        <w:t>3.关键词分析</w:t>
      </w:r>
      <w:bookmarkEnd w:id="29"/>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综合分析2023年第二季度国内公开发表的130篇论文中，通过对关键词分析得到频次较高的关键词分布为：板栗、冀东地区、结构、桃、乡村振兴等，具体分布频次详见图3。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30" w:name="_Toc30910"/>
      <w:bookmarkStart w:id="31"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2" w:name="_Toc20374"/>
      <w:r>
        <w:rPr>
          <w:rFonts w:hint="eastAsia" w:ascii="仿宋" w:hAnsi="仿宋" w:eastAsia="仿宋" w:cs="仿宋"/>
          <w:b/>
          <w:bCs/>
          <w:sz w:val="30"/>
          <w:szCs w:val="30"/>
          <w:lang w:val="en-US" w:eastAsia="zh-CN"/>
        </w:rPr>
        <w:t>4.文献来源分析</w:t>
      </w:r>
      <w:bookmarkEnd w:id="28"/>
      <w:bookmarkEnd w:id="3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二季度国内公开发表的130篇论文中，文献来源共计88种，其中核心期刊49篇，占总数的37.69%。文献来源主要集中在河北科技师范学院学报、河北果树、核农学报等。其中论文数在3篇以上的有7种，论文数2篇以上的有22种，发表论文最多的刊物是《河北科技师范学院学报》。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jc w:val="center"/>
        <w:rPr>
          <w:rFonts w:hint="eastAsia" w:ascii="仿宋" w:hAnsi="仿宋" w:eastAsia="仿宋" w:cs="仿宋"/>
          <w:b/>
          <w:bCs/>
          <w:color w:val="000000"/>
          <w:kern w:val="0"/>
          <w:sz w:val="24"/>
          <w:szCs w:val="24"/>
          <w:lang w:bidi="ar"/>
        </w:rPr>
      </w:pP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9</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0.500</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河北果树</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6</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核农学报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河北科技师范学院学报(社会科学版)</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4</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0.146</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现代农村科技</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4</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jc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农业生物技术学报</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0.904</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食品研究与开发</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1.661</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办公自动化</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jc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畜牧兽医学报</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1.107</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动物营养学报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2.264</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河南农业科学</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1.513</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麦类作物学报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1.663</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石家庄学院学报</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0.150 </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食品工业科技</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1.787</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食品与发酵工业</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1.685</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职业教育(下旬刊)</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0.085</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植物保护</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2.447</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智慧农业导刊</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中国畜牧兽医</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1.187</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中国农业科技导报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1.488</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中国兽医科学</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0.915</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中国兽医杂志</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0.367</w:t>
            </w:r>
          </w:p>
        </w:tc>
      </w:tr>
    </w:tbl>
    <w:p>
      <w:pPr>
        <w:numPr>
          <w:ilvl w:val="0"/>
          <w:numId w:val="0"/>
        </w:numPr>
        <w:jc w:val="center"/>
        <w:rPr>
          <w:rFonts w:hint="eastAsia" w:ascii="仿宋" w:hAnsi="仿宋" w:eastAsia="仿宋" w:cs="仿宋"/>
          <w:b/>
          <w:bCs/>
          <w:color w:val="000000"/>
          <w:kern w:val="0"/>
          <w:sz w:val="24"/>
          <w:szCs w:val="24"/>
          <w:lang w:bidi="ar"/>
        </w:rPr>
      </w:pP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9095"/>
      <w:bookmarkStart w:id="34" w:name="_Toc31907"/>
      <w:r>
        <w:rPr>
          <w:rFonts w:hint="eastAsia" w:ascii="仿宋" w:hAnsi="仿宋" w:eastAsia="仿宋" w:cs="仿宋"/>
          <w:b/>
          <w:bCs/>
          <w:sz w:val="30"/>
          <w:szCs w:val="30"/>
          <w:lang w:val="en-US" w:eastAsia="zh-CN"/>
        </w:rPr>
        <w:t>5.学科分析</w:t>
      </w:r>
      <w:bookmarkEnd w:id="33"/>
      <w:bookmarkEnd w:id="34"/>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综合分析2023年第二季度国内公开发表的130篇论文，发文量超过两篇的学科有18个，其中</w:t>
      </w:r>
      <w:r>
        <w:rPr>
          <w:rFonts w:hint="eastAsia" w:ascii="仿宋" w:hAnsi="仿宋" w:eastAsia="仿宋" w:cs="仿宋"/>
          <w:sz w:val="28"/>
          <w:szCs w:val="28"/>
          <w:lang w:val="en-US" w:eastAsia="zh-CN"/>
        </w:rPr>
        <w:t>园艺、食品工艺、农作物、动物医学、职业技术教育等学科发文超过5篇，园艺发文量最多，发文11篇，具体情况见表3。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shd w:val="clear" w:color="auto" w:fill="auto"/>
        <w:tblLayout w:type="autofit"/>
        <w:tblCellMar>
          <w:top w:w="0" w:type="dxa"/>
          <w:left w:w="0" w:type="dxa"/>
          <w:bottom w:w="0" w:type="dxa"/>
          <w:right w:w="0" w:type="dxa"/>
        </w:tblCellMar>
      </w:tblPr>
      <w:tblGrid>
        <w:gridCol w:w="649"/>
        <w:gridCol w:w="2463"/>
        <w:gridCol w:w="899"/>
        <w:gridCol w:w="779"/>
        <w:gridCol w:w="2687"/>
        <w:gridCol w:w="859"/>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47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6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11"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47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53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467"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11"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47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畜牧、动物医学、狩猎、蚕、蜂</w:t>
            </w:r>
          </w:p>
        </w:tc>
        <w:tc>
          <w:tcPr>
            <w:tcW w:w="53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467"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11"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515"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47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53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46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611"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世界各国经济概况、经济史、经济地理</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47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53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46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6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经济计划与管理</w:t>
            </w:r>
          </w:p>
        </w:tc>
        <w:tc>
          <w:tcPr>
            <w:tcW w:w="51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47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53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46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611"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工艺美术</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47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4"/>
                <w:szCs w:val="24"/>
                <w:u w:val="none"/>
                <w:lang w:eastAsia="zh-CN" w:bidi="ar"/>
              </w:rPr>
            </w:pPr>
            <w:r>
              <w:rPr>
                <w:rFonts w:hint="eastAsia" w:ascii="仿宋" w:hAnsi="仿宋" w:eastAsia="仿宋" w:cs="仿宋"/>
                <w:i w:val="0"/>
                <w:color w:val="000000"/>
                <w:kern w:val="0"/>
                <w:sz w:val="24"/>
                <w:szCs w:val="24"/>
                <w:u w:val="none"/>
                <w:lang w:val="en-US" w:eastAsia="zh-CN" w:bidi="ar"/>
              </w:rPr>
              <w:t>各级教育</w:t>
            </w:r>
          </w:p>
        </w:tc>
        <w:tc>
          <w:tcPr>
            <w:tcW w:w="53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6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6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w:t>
            </w:r>
          </w:p>
        </w:tc>
        <w:tc>
          <w:tcPr>
            <w:tcW w:w="51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1477"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4"/>
                <w:szCs w:val="24"/>
                <w:u w:val="none"/>
                <w:lang w:eastAsia="zh-CN" w:bidi="ar"/>
              </w:rPr>
            </w:pPr>
            <w:r>
              <w:rPr>
                <w:rFonts w:hint="eastAsia" w:ascii="仿宋" w:hAnsi="仿宋" w:eastAsia="仿宋" w:cs="仿宋"/>
                <w:i w:val="0"/>
                <w:color w:val="000000"/>
                <w:kern w:val="0"/>
                <w:sz w:val="24"/>
                <w:szCs w:val="24"/>
                <w:u w:val="none"/>
                <w:lang w:val="en-US" w:eastAsia="zh-CN" w:bidi="ar"/>
              </w:rPr>
              <w:t>各类教育</w:t>
            </w:r>
          </w:p>
        </w:tc>
        <w:tc>
          <w:tcPr>
            <w:tcW w:w="539"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67"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611"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环境污染及其防治</w:t>
            </w:r>
          </w:p>
        </w:tc>
        <w:tc>
          <w:tcPr>
            <w:tcW w:w="515"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47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法律</w:t>
            </w:r>
          </w:p>
        </w:tc>
        <w:tc>
          <w:tcPr>
            <w:tcW w:w="53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6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611"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环境质量评价与环境监测</w:t>
            </w:r>
          </w:p>
        </w:tc>
        <w:tc>
          <w:tcPr>
            <w:tcW w:w="51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bookmarkStart w:id="35" w:name="_Toc28217"/>
    </w:p>
    <w:p>
      <w:pPr>
        <w:numPr>
          <w:ilvl w:val="0"/>
          <w:numId w:val="0"/>
        </w:numPr>
        <w:jc w:val="both"/>
        <w:outlineLvl w:val="1"/>
        <w:rPr>
          <w:rFonts w:hint="eastAsia" w:ascii="仿宋" w:hAnsi="仿宋" w:eastAsia="仿宋" w:cs="仿宋"/>
          <w:b/>
          <w:bCs/>
          <w:sz w:val="30"/>
          <w:szCs w:val="30"/>
          <w:lang w:val="en-US" w:eastAsia="zh-CN"/>
        </w:rPr>
      </w:pPr>
      <w:bookmarkStart w:id="36" w:name="_Toc32356"/>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综合分析2023年第二季度国内公开发表的130篇论文中，发文超过两篇文献的作者有13人，详情见表4。</w:t>
      </w:r>
    </w:p>
    <w:p>
      <w:pPr>
        <w:keepNext w:val="0"/>
        <w:keepLines w:val="0"/>
        <w:pageBreakBefore w:val="0"/>
        <w:kinsoku/>
        <w:wordWrap/>
        <w:overflowPunct/>
        <w:topLinePunct w:val="0"/>
        <w:autoSpaceDE/>
        <w:autoSpaceDN/>
        <w:bidi w:val="0"/>
        <w:adjustRightInd/>
        <w:snapToGrid/>
        <w:spacing w:line="140" w:lineRule="atLeas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表4河北科技师范学院2023年第二季度国内期刊发文作者统计表</w:t>
      </w:r>
    </w:p>
    <w:tbl>
      <w:tblPr>
        <w:tblStyle w:val="6"/>
        <w:tblpPr w:leftFromText="180" w:rightFromText="180" w:vertAnchor="text" w:horzAnchor="page" w:tblpX="1787" w:tblpY="606"/>
        <w:tblOverlap w:val="never"/>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615" w:hRule="atLeast"/>
        </w:trPr>
        <w:tc>
          <w:tcPr>
            <w:tcW w:w="575"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6"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白和平</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动物科技学院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8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郝世坤</w:t>
            </w:r>
          </w:p>
        </w:tc>
        <w:tc>
          <w:tcPr>
            <w:tcW w:w="136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文法学院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胡晴晖</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数学与信息科技学院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bookmarkStart w:id="37" w:name="_Toc23809"/>
            <w:r>
              <w:rPr>
                <w:rFonts w:hint="eastAsia" w:ascii="仿宋" w:hAnsi="仿宋" w:eastAsia="仿宋" w:cs="仿宋"/>
                <w:b w:val="0"/>
                <w:bCs/>
                <w:i w:val="0"/>
                <w:color w:val="auto"/>
                <w:kern w:val="0"/>
                <w:sz w:val="24"/>
                <w:szCs w:val="24"/>
                <w:u w:val="none"/>
                <w:lang w:val="en-US" w:eastAsia="zh-CN" w:bidi="ar"/>
              </w:rPr>
              <w:t>4</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李琼</w:t>
            </w:r>
          </w:p>
        </w:tc>
        <w:tc>
          <w:tcPr>
            <w:tcW w:w="1364"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体育与健康学院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栗佳宁</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农学与生物科技学院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苏强</w:t>
            </w:r>
          </w:p>
        </w:tc>
        <w:tc>
          <w:tcPr>
            <w:tcW w:w="1364"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王建华</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农学与生物科技学院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王妹娟</w:t>
            </w:r>
          </w:p>
        </w:tc>
        <w:tc>
          <w:tcPr>
            <w:tcW w:w="1364"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科研处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王年文</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艺术学院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王颖</w:t>
            </w:r>
          </w:p>
        </w:tc>
        <w:tc>
          <w:tcPr>
            <w:tcW w:w="1364"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魏源</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吴帆</w:t>
            </w:r>
          </w:p>
        </w:tc>
        <w:tc>
          <w:tcPr>
            <w:tcW w:w="1364"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动物科技学院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张锐</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思想政治理论教学部</w:t>
            </w:r>
          </w:p>
        </w:tc>
      </w:tr>
    </w:tbl>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38" w:name="_Toc10967"/>
      <w:r>
        <w:rPr>
          <w:rFonts w:hint="eastAsia" w:ascii="仿宋" w:hAnsi="仿宋" w:eastAsia="仿宋" w:cs="仿宋"/>
          <w:b/>
          <w:bCs/>
          <w:sz w:val="30"/>
          <w:szCs w:val="30"/>
          <w:lang w:val="en-US" w:eastAsia="zh-CN"/>
        </w:rPr>
        <w:t>7.合作单位分析</w:t>
      </w:r>
      <w:bookmarkEnd w:id="37"/>
      <w:bookmarkEnd w:id="38"/>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综合分析2023年第二季度国内公开发表的130篇论文中，合作发文超过2篇的合作单位有19个，其中合作发文最多的是河北农业大学、燕山大学、中国农业大学，合作发文6篇，具体分布见图4。</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ind w:firstLine="420" w:firstLineChars="200"/>
        <w:jc w:val="both"/>
        <w:rPr>
          <w:rFonts w:hint="eastAsia" w:ascii="仿宋" w:hAnsi="仿宋" w:eastAsia="仿宋" w:cs="仿宋"/>
          <w:b/>
          <w:bCs/>
          <w:color w:val="000000"/>
          <w:kern w:val="0"/>
          <w:sz w:val="24"/>
          <w:szCs w:val="24"/>
          <w:lang w:val="en-US" w:eastAsia="zh-CN" w:bidi="ar"/>
        </w:rPr>
      </w:pPr>
      <w:r>
        <w:rPr>
          <w:rFonts w:hint="eastAsia"/>
          <w:lang w:val="en-US" w:eastAsia="zh-CN"/>
        </w:rPr>
        <w:t xml:space="preserve"> </w:t>
      </w:r>
      <w:r>
        <w:drawing>
          <wp:inline distT="0" distB="0" distL="114300" distR="114300">
            <wp:extent cx="4838700" cy="3387725"/>
            <wp:effectExtent l="4445" t="4445" r="14605" b="17780"/>
            <wp:docPr id="2" name="图表 1" descr="7b0a202020202263686172745265734964223a20223837333734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39" w:name="_Toc509"/>
    </w:p>
    <w:p>
      <w:pPr>
        <w:numPr>
          <w:ilvl w:val="0"/>
          <w:numId w:val="0"/>
        </w:numPr>
        <w:jc w:val="both"/>
        <w:outlineLvl w:val="1"/>
        <w:rPr>
          <w:rFonts w:hint="eastAsia" w:ascii="仿宋" w:hAnsi="仿宋" w:eastAsia="仿宋" w:cs="仿宋"/>
          <w:b/>
          <w:bCs/>
          <w:sz w:val="30"/>
          <w:szCs w:val="30"/>
          <w:lang w:val="en-US" w:eastAsia="zh-CN"/>
        </w:rPr>
      </w:pPr>
      <w:bookmarkStart w:id="40" w:name="_Toc27401"/>
      <w:r>
        <w:rPr>
          <w:rFonts w:hint="eastAsia" w:ascii="仿宋" w:hAnsi="仿宋" w:eastAsia="仿宋" w:cs="仿宋"/>
          <w:b/>
          <w:bCs/>
          <w:sz w:val="30"/>
          <w:szCs w:val="30"/>
          <w:lang w:val="en-US" w:eastAsia="zh-CN"/>
        </w:rPr>
        <w:t>8.基金分析</w:t>
      </w:r>
      <w:bookmarkEnd w:id="39"/>
      <w:bookmarkEnd w:id="40"/>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二季度国内公开发表的130篇论文中，基金资助超过两篇文章的有32个，其中资助文献最多的基金是河北省重点研发计划项目，资助发文18篇，下表列举资助篇数超过五篇的基金项目，具体分布见表4。</w:t>
      </w:r>
    </w:p>
    <w:p>
      <w:pPr>
        <w:numPr>
          <w:ilvl w:val="0"/>
          <w:numId w:val="0"/>
        </w:numPr>
        <w:ind w:firstLine="560" w:firstLineChars="200"/>
        <w:jc w:val="both"/>
        <w:rPr>
          <w:rFonts w:hint="eastAsia" w:ascii="仿宋" w:hAnsi="仿宋" w:eastAsia="仿宋" w:cs="仿宋"/>
          <w:b w:val="0"/>
          <w:bCs w:val="0"/>
          <w:sz w:val="28"/>
          <w:szCs w:val="28"/>
          <w:lang w:val="en-US" w:eastAsia="zh-CN"/>
        </w:rPr>
      </w:pP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河北省教育厅平台项目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2022年度河北省社会科学发展项目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41" w:name="_Toc2497"/>
      <w:r>
        <w:rPr>
          <w:rFonts w:hint="eastAsia" w:ascii="仿宋" w:hAnsi="仿宋" w:eastAsia="仿宋" w:cs="仿宋"/>
          <w:b/>
          <w:bCs/>
          <w:sz w:val="30"/>
          <w:szCs w:val="30"/>
          <w:lang w:val="en-US" w:eastAsia="zh-CN"/>
        </w:rPr>
        <w:t>9.指标分析</w:t>
      </w:r>
      <w:bookmarkEnd w:id="41"/>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综合分析2023年第二季度国内公开发表论文，文献总数130篇，总参考115篇文献，篇均参考0.88篇文献；总被引4篇文献，篇均被引0.03篇文献；总下载文献数为16402，篇均下载文献数为126.17。详情参见表5.</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130</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115</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16402</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0.88</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0.03</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126.17</w:t>
            </w:r>
          </w:p>
        </w:tc>
      </w:tr>
    </w:tbl>
    <w:p>
      <w:pPr>
        <w:numPr>
          <w:ilvl w:val="0"/>
          <w:numId w:val="0"/>
        </w:numPr>
        <w:jc w:val="both"/>
        <w:outlineLvl w:val="0"/>
        <w:rPr>
          <w:rFonts w:hint="eastAsia" w:ascii="黑体" w:hAnsi="黑体" w:eastAsia="黑体" w:cs="黑体"/>
          <w:b/>
          <w:bCs/>
          <w:sz w:val="30"/>
          <w:szCs w:val="30"/>
          <w:lang w:val="en-US" w:eastAsia="zh-CN"/>
        </w:rPr>
      </w:pPr>
      <w:bookmarkStart w:id="42" w:name="_Toc16350"/>
      <w:bookmarkStart w:id="43" w:name="_Toc25917"/>
      <w:r>
        <w:rPr>
          <w:rFonts w:hint="eastAsia" w:ascii="黑体" w:hAnsi="黑体" w:eastAsia="黑体" w:cs="黑体"/>
          <w:b/>
          <w:bCs/>
          <w:sz w:val="32"/>
          <w:szCs w:val="32"/>
          <w:lang w:val="en-US" w:eastAsia="zh-CN"/>
        </w:rPr>
        <w:t>二、外文发文情况统计分析</w:t>
      </w:r>
      <w:bookmarkEnd w:id="42"/>
      <w:bookmarkEnd w:id="43"/>
    </w:p>
    <w:p>
      <w:pPr>
        <w:numPr>
          <w:ilvl w:val="0"/>
          <w:numId w:val="0"/>
        </w:numPr>
        <w:jc w:val="both"/>
        <w:outlineLvl w:val="1"/>
        <w:rPr>
          <w:rFonts w:hint="eastAsia" w:ascii="仿宋" w:hAnsi="仿宋" w:eastAsia="仿宋" w:cs="仿宋"/>
          <w:b/>
          <w:bCs/>
          <w:sz w:val="30"/>
          <w:szCs w:val="30"/>
          <w:lang w:val="en-US" w:eastAsia="zh-CN"/>
        </w:rPr>
      </w:pPr>
      <w:bookmarkStart w:id="44" w:name="_Toc4689"/>
      <w:bookmarkStart w:id="45" w:name="_Toc5673"/>
      <w:r>
        <w:rPr>
          <w:rFonts w:hint="eastAsia" w:ascii="仿宋" w:hAnsi="仿宋" w:eastAsia="仿宋" w:cs="仿宋"/>
          <w:b/>
          <w:bCs/>
          <w:sz w:val="30"/>
          <w:szCs w:val="30"/>
          <w:lang w:val="en-US" w:eastAsia="zh-CN"/>
        </w:rPr>
        <w:t>1.发文量分析</w:t>
      </w:r>
      <w:bookmarkEnd w:id="44"/>
      <w:bookmarkEnd w:id="4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2023年</w:t>
      </w:r>
      <w:r>
        <w:rPr>
          <w:rFonts w:hint="eastAsia" w:ascii="仿宋" w:hAnsi="仿宋" w:eastAsia="仿宋" w:cs="仿宋"/>
          <w:sz w:val="28"/>
          <w:szCs w:val="28"/>
          <w:lang w:val="en-US" w:eastAsia="zh-CN"/>
        </w:rPr>
        <w:t>第二季度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35</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11.67</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16</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45.71</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其中SCIE收录论文33篇，占论文总数的94.29%；SSCI收录论文2篇。</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2023年4月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2023年5月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2023年6月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bl>
    <w:p>
      <w:pPr>
        <w:numPr>
          <w:ilvl w:val="0"/>
          <w:numId w:val="0"/>
        </w:numPr>
        <w:jc w:val="both"/>
        <w:outlineLvl w:val="1"/>
        <w:rPr>
          <w:rFonts w:hint="eastAsia" w:ascii="仿宋" w:hAnsi="仿宋" w:eastAsia="仿宋" w:cs="仿宋"/>
          <w:b/>
          <w:bCs/>
          <w:sz w:val="30"/>
          <w:szCs w:val="30"/>
          <w:lang w:val="en-US" w:eastAsia="zh-CN"/>
        </w:rPr>
      </w:pPr>
      <w:bookmarkStart w:id="46" w:name="_Toc24142"/>
    </w:p>
    <w:p>
      <w:pPr>
        <w:numPr>
          <w:ilvl w:val="0"/>
          <w:numId w:val="0"/>
        </w:numPr>
        <w:jc w:val="both"/>
        <w:outlineLvl w:val="1"/>
        <w:rPr>
          <w:rFonts w:hint="eastAsia" w:ascii="仿宋" w:hAnsi="仿宋" w:eastAsia="仿宋" w:cs="仿宋"/>
          <w:b/>
          <w:bCs/>
          <w:sz w:val="30"/>
          <w:szCs w:val="30"/>
          <w:lang w:val="en-US" w:eastAsia="zh-CN"/>
        </w:rPr>
      </w:pPr>
      <w:bookmarkStart w:id="47" w:name="_Toc23317"/>
      <w:r>
        <w:rPr>
          <w:rFonts w:hint="eastAsia" w:ascii="仿宋" w:hAnsi="仿宋" w:eastAsia="仿宋" w:cs="仿宋"/>
          <w:b/>
          <w:bCs/>
          <w:sz w:val="30"/>
          <w:szCs w:val="30"/>
          <w:lang w:val="en-US" w:eastAsia="zh-CN"/>
        </w:rPr>
        <w:t>2.学科分析</w:t>
      </w:r>
      <w:bookmarkEnd w:id="46"/>
      <w:bookmarkEnd w:id="47"/>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default" w:ascii="Calibri" w:hAnsi="Calibri" w:eastAsia="宋体" w:cs="Calibri"/>
          <w:i w:val="0"/>
          <w:color w:val="000000"/>
          <w:kern w:val="0"/>
          <w:sz w:val="24"/>
          <w:szCs w:val="24"/>
          <w:u w:val="none"/>
          <w:lang w:val="en-US" w:eastAsia="zh-CN" w:bidi="ar"/>
        </w:rPr>
        <w:t>Plant Sciences</w:t>
      </w:r>
      <w:r>
        <w:rPr>
          <w:rFonts w:hint="eastAsia" w:ascii="Calibri" w:hAnsi="Calibri" w:eastAsia="宋体" w:cs="Calibri"/>
          <w:i w:val="0"/>
          <w:color w:val="000000"/>
          <w:kern w:val="0"/>
          <w:sz w:val="24"/>
          <w:szCs w:val="24"/>
          <w:u w:val="none"/>
          <w:lang w:val="en-US" w:eastAsia="zh-CN" w:bidi="ar"/>
        </w:rPr>
        <w:t>、Food Science &amp; Technology</w:t>
      </w:r>
      <w:r>
        <w:rPr>
          <w:rFonts w:hint="eastAsia" w:ascii="仿宋" w:hAnsi="仿宋" w:eastAsia="仿宋" w:cs="仿宋"/>
          <w:sz w:val="28"/>
          <w:szCs w:val="28"/>
          <w:lang w:val="en-US" w:eastAsia="zh-CN"/>
        </w:rPr>
        <w:t>学科发文较多。</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Agronomy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Engineering, Electrical &amp; Electronic</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Horticulture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Optics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8" w:name="_Toc14746"/>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2</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9" w:name="_Toc24535"/>
      <w:r>
        <w:rPr>
          <w:rFonts w:hint="eastAsia" w:ascii="仿宋" w:hAnsi="仿宋" w:eastAsia="仿宋" w:cs="仿宋"/>
          <w:b/>
          <w:bCs/>
          <w:sz w:val="30"/>
          <w:szCs w:val="30"/>
          <w:lang w:val="en-US" w:eastAsia="zh-CN"/>
        </w:rPr>
        <w:t>3.研究方向分析</w:t>
      </w:r>
      <w:bookmarkEnd w:id="48"/>
      <w:bookmarkEnd w:id="49"/>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综合分析2023年第二季度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Plant Sciences,  Agriculture， Engineering</w:t>
      </w:r>
      <w:r>
        <w:rPr>
          <w:rFonts w:hint="eastAsia" w:ascii="仿宋" w:hAnsi="仿宋" w:eastAsia="仿宋" w:cs="仿宋"/>
          <w:sz w:val="28"/>
          <w:szCs w:val="28"/>
          <w:lang w:val="en-US" w:eastAsia="zh-CN"/>
        </w:rPr>
        <w:t>研究方向分别发文较多</w:t>
      </w:r>
      <w:r>
        <w:rPr>
          <w:rFonts w:hint="eastAsia" w:ascii="Calibri" w:hAnsi="Calibri" w:eastAsia="宋体" w:cs="Calibri"/>
          <w:i w:val="0"/>
          <w:color w:val="000000"/>
          <w:kern w:val="0"/>
          <w:sz w:val="24"/>
          <w:szCs w:val="24"/>
          <w:u w:val="none"/>
          <w:lang w:val="en-US" w:eastAsia="zh-CN" w:bidi="ar"/>
        </w:rPr>
        <w:t>Plant Sciences</w:t>
      </w:r>
      <w:r>
        <w:rPr>
          <w:rFonts w:hint="eastAsia" w:ascii="仿宋" w:hAnsi="仿宋" w:eastAsia="仿宋" w:cs="仿宋"/>
          <w:sz w:val="28"/>
          <w:szCs w:val="28"/>
          <w:lang w:val="en-US" w:eastAsia="zh-CN"/>
        </w:rPr>
        <w:t>为最多研究方向，发文8篇。</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0" w:name="_Toc32538"/>
      <w:bookmarkStart w:id="51" w:name="_Toc5680"/>
      <w:r>
        <w:rPr>
          <w:rFonts w:hint="eastAsia" w:ascii="仿宋" w:hAnsi="仿宋" w:eastAsia="仿宋" w:cs="仿宋"/>
          <w:b/>
          <w:bCs/>
          <w:sz w:val="30"/>
          <w:szCs w:val="30"/>
          <w:lang w:val="en-US" w:eastAsia="zh-CN"/>
        </w:rPr>
        <w:t>4.文献来源分析</w:t>
      </w:r>
      <w:bookmarkEnd w:id="50"/>
      <w:bookmarkEnd w:id="51"/>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文献来源共计32种，发文超过两篇的期刊共2种（详见表9）。</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677"/>
        <w:gridCol w:w="3361"/>
        <w:gridCol w:w="1275"/>
        <w:gridCol w:w="1786"/>
        <w:gridCol w:w="1234"/>
      </w:tblGrid>
      <w:tr>
        <w:tblPrEx>
          <w:shd w:val="clear" w:color="auto" w:fill="auto"/>
          <w:tblCellMar>
            <w:top w:w="0" w:type="dxa"/>
            <w:left w:w="0" w:type="dxa"/>
            <w:bottom w:w="0" w:type="dxa"/>
            <w:right w:w="0" w:type="dxa"/>
          </w:tblCellMar>
        </w:tblPrEx>
        <w:trPr>
          <w:trHeight w:val="500" w:hRule="atLeast"/>
        </w:trPr>
        <w:tc>
          <w:tcPr>
            <w:tcW w:w="40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1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shd w:val="clear" w:color="auto" w:fill="auto"/>
          <w:tblCellMar>
            <w:top w:w="0" w:type="dxa"/>
            <w:left w:w="0" w:type="dxa"/>
            <w:bottom w:w="0" w:type="dxa"/>
            <w:right w:w="0" w:type="dxa"/>
          </w:tblCellMar>
        </w:tblPrEx>
        <w:trPr>
          <w:trHeight w:val="500" w:hRule="atLeast"/>
        </w:trPr>
        <w:tc>
          <w:tcPr>
            <w:tcW w:w="40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01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FRONTIERS IN PLANT SCIENCE</w:t>
            </w:r>
          </w:p>
        </w:tc>
        <w:tc>
          <w:tcPr>
            <w:tcW w:w="76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107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5.6</w:t>
            </w:r>
          </w:p>
        </w:tc>
        <w:tc>
          <w:tcPr>
            <w:tcW w:w="7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Q1</w:t>
            </w:r>
          </w:p>
        </w:tc>
      </w:tr>
      <w:tr>
        <w:tblPrEx>
          <w:tblCellMar>
            <w:top w:w="0" w:type="dxa"/>
            <w:left w:w="0" w:type="dxa"/>
            <w:bottom w:w="0" w:type="dxa"/>
            <w:right w:w="0" w:type="dxa"/>
          </w:tblCellMar>
        </w:tblPrEx>
        <w:trPr>
          <w:trHeight w:val="500" w:hRule="atLeast"/>
        </w:trPr>
        <w:tc>
          <w:tcPr>
            <w:tcW w:w="40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2016"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numPr>
                <w:ilvl w:val="0"/>
                <w:numId w:val="0"/>
              </w:numPr>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FOOD &amp; FUNCTION</w:t>
            </w:r>
          </w:p>
        </w:tc>
        <w:tc>
          <w:tcPr>
            <w:tcW w:w="76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2</w:t>
            </w:r>
          </w:p>
        </w:tc>
        <w:tc>
          <w:tcPr>
            <w:tcW w:w="107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6.1</w:t>
            </w:r>
          </w:p>
        </w:tc>
        <w:tc>
          <w:tcPr>
            <w:tcW w:w="7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Q1</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52" w:name="_Toc10459"/>
      <w:bookmarkStart w:id="53" w:name="_Toc10170"/>
      <w:r>
        <w:rPr>
          <w:rFonts w:hint="eastAsia" w:ascii="仿宋" w:hAnsi="仿宋" w:eastAsia="仿宋" w:cs="仿宋"/>
          <w:b/>
          <w:bCs/>
          <w:sz w:val="30"/>
          <w:szCs w:val="30"/>
          <w:lang w:val="en-US" w:eastAsia="zh-CN"/>
        </w:rPr>
        <w:t>作者分析</w:t>
      </w:r>
      <w:bookmarkEnd w:id="52"/>
      <w:r>
        <w:rPr>
          <w:rFonts w:hint="eastAsia" w:ascii="仿宋" w:hAnsi="仿宋" w:eastAsia="仿宋" w:cs="仿宋"/>
          <w:b/>
          <w:bCs/>
          <w:sz w:val="30"/>
          <w:szCs w:val="30"/>
          <w:lang w:val="en-US" w:eastAsia="zh-CN"/>
        </w:rPr>
        <w:t>（含合作者）</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我校发文作者91名，其中发文两篇以上的有36人，下表列举发文量超过3篇的作者，详见表10。</w:t>
      </w:r>
    </w:p>
    <w:p>
      <w:pPr>
        <w:numPr>
          <w:ilvl w:val="0"/>
          <w:numId w:val="0"/>
        </w:numPr>
        <w:ind w:firstLine="482" w:firstLineChars="2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表10河北科技师范学院2023年第二季度国外期刊作者统计表</w:t>
      </w:r>
    </w:p>
    <w:tbl>
      <w:tblPr>
        <w:tblStyle w:val="6"/>
        <w:tblpPr w:leftFromText="180" w:rightFromText="180" w:vertAnchor="text" w:horzAnchor="page" w:tblpX="1787" w:tblpY="6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9"/>
        <w:gridCol w:w="2586"/>
        <w:gridCol w:w="1035"/>
        <w:gridCol w:w="3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atLeast"/>
        </w:trPr>
        <w:tc>
          <w:tcPr>
            <w:tcW w:w="575" w:type="pct"/>
            <w:shd w:val="clear" w:color="auto" w:fill="2E75B5"/>
            <w:tcMar>
              <w:top w:w="15" w:type="dxa"/>
              <w:left w:w="15" w:type="dxa"/>
              <w:right w:w="15" w:type="dxa"/>
            </w:tcMar>
            <w:vAlign w:val="center"/>
          </w:tcPr>
          <w:p>
            <w:pPr>
              <w:numPr>
                <w:ilvl w:val="0"/>
                <w:numId w:val="0"/>
              </w:numPr>
              <w:jc w:val="center"/>
              <w:rPr>
                <w:rFonts w:hint="default"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序号</w:t>
            </w:r>
          </w:p>
        </w:tc>
        <w:tc>
          <w:tcPr>
            <w:tcW w:w="1551" w:type="pct"/>
            <w:shd w:val="clear" w:color="auto" w:fill="2E75B5"/>
            <w:tcMar>
              <w:top w:w="15" w:type="dxa"/>
              <w:left w:w="15" w:type="dxa"/>
              <w:right w:w="15" w:type="dxa"/>
            </w:tcMar>
            <w:vAlign w:val="center"/>
          </w:tcPr>
          <w:p>
            <w:pPr>
              <w:numPr>
                <w:ilvl w:val="0"/>
                <w:numId w:val="0"/>
              </w:numPr>
              <w:ind w:firstLine="482" w:firstLineChars="200"/>
              <w:jc w:val="left"/>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作者</w:t>
            </w:r>
          </w:p>
        </w:tc>
        <w:tc>
          <w:tcPr>
            <w:tcW w:w="621" w:type="pct"/>
            <w:shd w:val="clear" w:color="auto" w:fill="2E75B5"/>
            <w:tcMar>
              <w:top w:w="15" w:type="dxa"/>
              <w:left w:w="15" w:type="dxa"/>
              <w:right w:w="15" w:type="dxa"/>
            </w:tcMar>
            <w:vAlign w:val="center"/>
          </w:tcPr>
          <w:p>
            <w:pPr>
              <w:numPr>
                <w:ilvl w:val="0"/>
                <w:numId w:val="0"/>
              </w:numPr>
              <w:jc w:val="both"/>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发文数量</w:t>
            </w:r>
          </w:p>
        </w:tc>
        <w:tc>
          <w:tcPr>
            <w:tcW w:w="2251" w:type="pct"/>
            <w:shd w:val="clear" w:color="auto" w:fill="2E75B5"/>
            <w:tcMar>
              <w:top w:w="15" w:type="dxa"/>
              <w:left w:w="15" w:type="dxa"/>
              <w:right w:w="15" w:type="dxa"/>
            </w:tcMar>
            <w:vAlign w:val="center"/>
          </w:tcPr>
          <w:p>
            <w:pPr>
              <w:numPr>
                <w:ilvl w:val="0"/>
                <w:numId w:val="0"/>
              </w:numPr>
              <w:ind w:firstLine="482" w:firstLineChars="200"/>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院系分布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w:t>
            </w:r>
          </w:p>
        </w:tc>
        <w:tc>
          <w:tcPr>
            <w:tcW w:w="1551" w:type="pct"/>
            <w:shd w:val="clear" w:color="auto" w:fill="BDD6EE"/>
            <w:tcMar>
              <w:top w:w="15" w:type="dxa"/>
              <w:left w:w="15" w:type="dxa"/>
              <w:right w:w="15" w:type="dxa"/>
            </w:tcMar>
            <w:vAlign w:val="center"/>
          </w:tcPr>
          <w:p>
            <w:pPr>
              <w:numPr>
                <w:ilvl w:val="0"/>
                <w:numId w:val="0"/>
              </w:numPr>
              <w:ind w:firstLine="480" w:firstLineChars="200"/>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Zhang, Jingzheng</w:t>
            </w:r>
          </w:p>
        </w:tc>
        <w:tc>
          <w:tcPr>
            <w:tcW w:w="621" w:type="pct"/>
            <w:shd w:val="clear" w:color="auto" w:fill="BDD6EE"/>
            <w:tcMar>
              <w:top w:w="15" w:type="dxa"/>
              <w:left w:w="15" w:type="dxa"/>
              <w:right w:w="15" w:type="dxa"/>
            </w:tcMar>
            <w:vAlign w:val="center"/>
          </w:tcPr>
          <w:p>
            <w:pPr>
              <w:numPr>
                <w:ilvl w:val="0"/>
                <w:numId w:val="0"/>
              </w:numPr>
              <w:ind w:firstLine="480" w:firstLineChars="200"/>
              <w:jc w:val="both"/>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7</w:t>
            </w:r>
          </w:p>
        </w:tc>
        <w:tc>
          <w:tcPr>
            <w:tcW w:w="3753" w:type="dxa"/>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auto"/>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w:t>
            </w:r>
          </w:p>
        </w:tc>
        <w:tc>
          <w:tcPr>
            <w:tcW w:w="1551" w:type="pct"/>
            <w:shd w:val="clear" w:color="auto" w:fill="auto"/>
            <w:tcMar>
              <w:top w:w="15" w:type="dxa"/>
              <w:left w:w="15" w:type="dxa"/>
              <w:right w:w="15" w:type="dxa"/>
            </w:tcMar>
            <w:vAlign w:val="center"/>
          </w:tcPr>
          <w:p>
            <w:pPr>
              <w:numPr>
                <w:ilvl w:val="0"/>
                <w:numId w:val="0"/>
              </w:numPr>
              <w:ind w:firstLine="480" w:firstLineChars="200"/>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Liu, Suwen</w:t>
            </w:r>
          </w:p>
        </w:tc>
        <w:tc>
          <w:tcPr>
            <w:tcW w:w="621" w:type="pct"/>
            <w:shd w:val="clear" w:color="auto" w:fill="auto"/>
            <w:tcMar>
              <w:top w:w="15" w:type="dxa"/>
              <w:left w:w="15" w:type="dxa"/>
              <w:right w:w="15" w:type="dxa"/>
            </w:tcMar>
            <w:vAlign w:val="center"/>
          </w:tcPr>
          <w:p>
            <w:pPr>
              <w:numPr>
                <w:ilvl w:val="0"/>
                <w:numId w:val="0"/>
              </w:numPr>
              <w:ind w:firstLine="480" w:firstLineChars="200"/>
              <w:jc w:val="both"/>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6</w:t>
            </w:r>
          </w:p>
        </w:tc>
        <w:tc>
          <w:tcPr>
            <w:tcW w:w="3753" w:type="dxa"/>
            <w:shd w:val="clear" w:color="auto" w:fill="auto"/>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食品科技学院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w:t>
            </w:r>
          </w:p>
        </w:tc>
        <w:tc>
          <w:tcPr>
            <w:tcW w:w="1551" w:type="pct"/>
            <w:shd w:val="clear" w:color="auto" w:fill="BDD6EE"/>
            <w:tcMar>
              <w:top w:w="15" w:type="dxa"/>
              <w:left w:w="15" w:type="dxa"/>
              <w:right w:w="15" w:type="dxa"/>
            </w:tcMar>
            <w:vAlign w:val="center"/>
          </w:tcPr>
          <w:p>
            <w:pPr>
              <w:numPr>
                <w:ilvl w:val="0"/>
                <w:numId w:val="0"/>
              </w:numPr>
              <w:ind w:firstLine="480" w:firstLineChars="200"/>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Huang, Ruimin</w:t>
            </w:r>
          </w:p>
        </w:tc>
        <w:tc>
          <w:tcPr>
            <w:tcW w:w="621" w:type="pct"/>
            <w:shd w:val="clear" w:color="auto" w:fill="BDD6EE"/>
            <w:tcMar>
              <w:top w:w="15" w:type="dxa"/>
              <w:left w:w="15" w:type="dxa"/>
              <w:right w:w="15" w:type="dxa"/>
            </w:tcMar>
            <w:vAlign w:val="center"/>
          </w:tcPr>
          <w:p>
            <w:pPr>
              <w:numPr>
                <w:ilvl w:val="0"/>
                <w:numId w:val="0"/>
              </w:numPr>
              <w:ind w:firstLine="480" w:firstLineChars="200"/>
              <w:jc w:val="both"/>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5</w:t>
            </w:r>
          </w:p>
        </w:tc>
        <w:tc>
          <w:tcPr>
            <w:tcW w:w="3753" w:type="dxa"/>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板栗研究中心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551" w:type="pct"/>
            <w:shd w:val="clear" w:color="auto" w:fill="FFFFFF" w:themeFill="background1"/>
            <w:tcMar>
              <w:top w:w="15" w:type="dxa"/>
              <w:left w:w="15" w:type="dxa"/>
              <w:right w:w="15" w:type="dxa"/>
            </w:tcMar>
            <w:vAlign w:val="center"/>
          </w:tcPr>
          <w:p>
            <w:pPr>
              <w:numPr>
                <w:ilvl w:val="0"/>
                <w:numId w:val="0"/>
              </w:numPr>
              <w:ind w:firstLine="480" w:firstLineChars="200"/>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Wang, Dongsheng</w:t>
            </w:r>
          </w:p>
        </w:tc>
        <w:tc>
          <w:tcPr>
            <w:tcW w:w="621" w:type="pct"/>
            <w:shd w:val="clear" w:color="auto" w:fill="FFFFFF" w:themeFill="background1"/>
            <w:tcMar>
              <w:top w:w="15" w:type="dxa"/>
              <w:left w:w="15" w:type="dxa"/>
              <w:right w:w="15" w:type="dxa"/>
            </w:tcMar>
            <w:vAlign w:val="center"/>
          </w:tcPr>
          <w:p>
            <w:pPr>
              <w:numPr>
                <w:ilvl w:val="0"/>
                <w:numId w:val="0"/>
              </w:numPr>
              <w:ind w:firstLine="480" w:firstLineChars="200"/>
              <w:jc w:val="both"/>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5</w:t>
            </w:r>
          </w:p>
        </w:tc>
        <w:tc>
          <w:tcPr>
            <w:tcW w:w="3753" w:type="dxa"/>
            <w:shd w:val="clear" w:color="auto" w:fill="FFFFFF" w:themeFill="background1"/>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板栗研究中心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551" w:type="pct"/>
            <w:shd w:val="clear" w:color="auto" w:fill="BDD6EE" w:themeFill="accent1" w:themeFillTint="66"/>
            <w:tcMar>
              <w:top w:w="15" w:type="dxa"/>
              <w:left w:w="15" w:type="dxa"/>
              <w:right w:w="15" w:type="dxa"/>
            </w:tcMar>
            <w:vAlign w:val="center"/>
          </w:tcPr>
          <w:p>
            <w:pPr>
              <w:numPr>
                <w:ilvl w:val="0"/>
                <w:numId w:val="0"/>
              </w:numPr>
              <w:ind w:firstLine="480" w:firstLineChars="200"/>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Zhang, Haie</w:t>
            </w:r>
          </w:p>
        </w:tc>
        <w:tc>
          <w:tcPr>
            <w:tcW w:w="621" w:type="pct"/>
            <w:shd w:val="clear" w:color="auto" w:fill="BDD6EE" w:themeFill="accent1" w:themeFillTint="66"/>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5</w:t>
            </w:r>
          </w:p>
        </w:tc>
        <w:tc>
          <w:tcPr>
            <w:tcW w:w="3753" w:type="dxa"/>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板栗研究中心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6</w:t>
            </w:r>
          </w:p>
        </w:tc>
        <w:tc>
          <w:tcPr>
            <w:tcW w:w="1551" w:type="pct"/>
            <w:shd w:val="clear" w:color="auto" w:fill="FFFFFF" w:themeFill="background1"/>
            <w:tcMar>
              <w:top w:w="15" w:type="dxa"/>
              <w:left w:w="15" w:type="dxa"/>
              <w:right w:w="15" w:type="dxa"/>
            </w:tcMar>
            <w:vAlign w:val="center"/>
          </w:tcPr>
          <w:p>
            <w:pPr>
              <w:numPr>
                <w:ilvl w:val="0"/>
                <w:numId w:val="0"/>
              </w:numPr>
              <w:ind w:firstLine="480" w:firstLineChars="200"/>
              <w:jc w:val="left"/>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Guo, Chunlei</w:t>
            </w:r>
          </w:p>
        </w:tc>
        <w:tc>
          <w:tcPr>
            <w:tcW w:w="621" w:type="pct"/>
            <w:shd w:val="clear" w:color="auto" w:fill="FFFFFF" w:themeFill="background1"/>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4</w:t>
            </w:r>
          </w:p>
        </w:tc>
        <w:tc>
          <w:tcPr>
            <w:tcW w:w="3753" w:type="dxa"/>
            <w:shd w:val="clear" w:color="auto" w:fill="FFFFFF" w:themeFill="background1"/>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板栗研究中心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1551" w:type="pct"/>
            <w:shd w:val="clear" w:color="auto" w:fill="BDD6EE" w:themeFill="accent1" w:themeFillTint="66"/>
            <w:tcMar>
              <w:top w:w="15" w:type="dxa"/>
              <w:left w:w="15" w:type="dxa"/>
              <w:right w:w="15" w:type="dxa"/>
            </w:tcMar>
            <w:vAlign w:val="center"/>
          </w:tcPr>
          <w:p>
            <w:pPr>
              <w:numPr>
                <w:ilvl w:val="0"/>
                <w:numId w:val="0"/>
              </w:numPr>
              <w:ind w:firstLine="480" w:firstLineChars="200"/>
              <w:jc w:val="left"/>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Yu, Liyang</w:t>
            </w:r>
          </w:p>
        </w:tc>
        <w:tc>
          <w:tcPr>
            <w:tcW w:w="621" w:type="pct"/>
            <w:shd w:val="clear" w:color="auto" w:fill="BDD6EE" w:themeFill="accent1" w:themeFillTint="66"/>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4</w:t>
            </w:r>
          </w:p>
        </w:tc>
        <w:tc>
          <w:tcPr>
            <w:tcW w:w="3753" w:type="dxa"/>
            <w:shd w:val="clear" w:color="auto" w:fill="BDD6EE" w:themeFill="accent1" w:themeFillTint="66"/>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板栗研究中心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1551" w:type="pct"/>
            <w:shd w:val="clear" w:color="auto" w:fill="FFFFFF" w:themeFill="background1"/>
            <w:tcMar>
              <w:top w:w="15" w:type="dxa"/>
              <w:left w:w="15" w:type="dxa"/>
              <w:right w:w="15" w:type="dxa"/>
            </w:tcMar>
            <w:vAlign w:val="center"/>
          </w:tcPr>
          <w:p>
            <w:pPr>
              <w:numPr>
                <w:ilvl w:val="0"/>
                <w:numId w:val="0"/>
              </w:numPr>
              <w:ind w:firstLine="480" w:firstLineChars="200"/>
              <w:jc w:val="left"/>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Chang, Xuedong</w:t>
            </w:r>
          </w:p>
        </w:tc>
        <w:tc>
          <w:tcPr>
            <w:tcW w:w="621" w:type="pct"/>
            <w:shd w:val="clear" w:color="auto" w:fill="FFFFFF" w:themeFill="background1"/>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3753" w:type="dxa"/>
            <w:shd w:val="clear" w:color="auto" w:fill="FFFFFF" w:themeFill="background1"/>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食品科技学院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1551" w:type="pct"/>
            <w:shd w:val="clear" w:color="auto" w:fill="BDD6EE" w:themeFill="accent1" w:themeFillTint="66"/>
            <w:tcMar>
              <w:top w:w="15" w:type="dxa"/>
              <w:left w:w="15" w:type="dxa"/>
              <w:right w:w="15" w:type="dxa"/>
            </w:tcMar>
            <w:vAlign w:val="center"/>
          </w:tcPr>
          <w:p>
            <w:pPr>
              <w:numPr>
                <w:ilvl w:val="0"/>
                <w:numId w:val="0"/>
              </w:numPr>
              <w:ind w:firstLine="480" w:firstLineChars="200"/>
              <w:jc w:val="left"/>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Zhang, Haihua</w:t>
            </w:r>
          </w:p>
        </w:tc>
        <w:tc>
          <w:tcPr>
            <w:tcW w:w="621" w:type="pct"/>
            <w:shd w:val="clear" w:color="auto" w:fill="BDD6EE" w:themeFill="accent1" w:themeFillTint="66"/>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3753" w:type="dxa"/>
            <w:shd w:val="clear" w:color="auto" w:fill="BDD6EE" w:themeFill="accent1" w:themeFillTint="66"/>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动物科技学院</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55" w:name="_Toc4595"/>
      <w:bookmarkStart w:id="56" w:name="_Toc3593"/>
      <w:bookmarkStart w:id="57" w:name="_Toc255"/>
      <w:r>
        <w:rPr>
          <w:rFonts w:hint="eastAsia" w:ascii="仿宋" w:hAnsi="仿宋" w:eastAsia="仿宋" w:cs="仿宋"/>
          <w:b/>
          <w:bCs/>
          <w:sz w:val="30"/>
          <w:szCs w:val="30"/>
          <w:lang w:val="en-US" w:eastAsia="zh-CN"/>
        </w:rPr>
        <w:t>6.合作单位分析</w:t>
      </w:r>
      <w:bookmarkEnd w:id="55"/>
      <w:bookmarkEnd w:id="56"/>
      <w:bookmarkEnd w:id="57"/>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，合作发文超过2篇的合作单位有16个，合作发文超过5篇的合作单位有3个，其中合作发文最多的是</w:t>
      </w:r>
      <w:r>
        <w:rPr>
          <w:rFonts w:hint="eastAsia" w:ascii="仿宋" w:hAnsi="仿宋" w:eastAsia="仿宋" w:cs="仿宋"/>
          <w:b w:val="0"/>
          <w:bCs w:val="0"/>
          <w:sz w:val="22"/>
          <w:szCs w:val="22"/>
          <w:lang w:val="en-US" w:eastAsia="zh-CN"/>
        </w:rPr>
        <w:t>Chinese Academy of Agricultural Sciences</w:t>
      </w:r>
      <w:r>
        <w:rPr>
          <w:rFonts w:hint="eastAsia" w:ascii="仿宋" w:hAnsi="仿宋" w:eastAsia="仿宋" w:cs="仿宋"/>
          <w:b w:val="0"/>
          <w:bCs w:val="0"/>
          <w:sz w:val="28"/>
          <w:szCs w:val="28"/>
          <w:lang w:val="en-US" w:eastAsia="zh-CN"/>
        </w:rPr>
        <w:t>，合作发文7篇，具体分布见图7。</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pPr>
        <w:numPr>
          <w:ilvl w:val="0"/>
          <w:numId w:val="0"/>
        </w:numPr>
        <w:jc w:val="both"/>
        <w:outlineLvl w:val="1"/>
        <w:rPr>
          <w:rFonts w:hint="eastAsia" w:ascii="仿宋" w:hAnsi="仿宋" w:eastAsia="仿宋" w:cs="仿宋"/>
          <w:b/>
          <w:bCs/>
          <w:sz w:val="30"/>
          <w:szCs w:val="30"/>
          <w:lang w:val="en-US" w:eastAsia="zh-CN"/>
        </w:rPr>
      </w:pPr>
      <w:r>
        <w:rPr>
          <w:rFonts w:hint="eastAsia"/>
          <w:lang w:val="en-US" w:eastAsia="zh-CN"/>
        </w:rPr>
        <w:t xml:space="preserve">     </w:t>
      </w:r>
      <w:r>
        <w:drawing>
          <wp:inline distT="0" distB="0" distL="114300" distR="114300">
            <wp:extent cx="5076190" cy="3067050"/>
            <wp:effectExtent l="4445" t="4445" r="571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58" w:name="_Toc17997"/>
    </w:p>
    <w:p>
      <w:pPr>
        <w:numPr>
          <w:ilvl w:val="0"/>
          <w:numId w:val="0"/>
        </w:numPr>
        <w:jc w:val="both"/>
        <w:outlineLvl w:val="1"/>
        <w:rPr>
          <w:rFonts w:hint="eastAsia" w:ascii="仿宋" w:hAnsi="仿宋" w:eastAsia="仿宋" w:cs="仿宋"/>
          <w:b/>
          <w:bCs/>
          <w:sz w:val="30"/>
          <w:szCs w:val="30"/>
          <w:lang w:val="en-US" w:eastAsia="zh-CN"/>
        </w:rPr>
      </w:pPr>
      <w:bookmarkStart w:id="59" w:name="_Toc6209"/>
      <w:r>
        <w:rPr>
          <w:rFonts w:hint="eastAsia" w:ascii="仿宋" w:hAnsi="仿宋" w:eastAsia="仿宋" w:cs="仿宋"/>
          <w:b/>
          <w:bCs/>
          <w:sz w:val="30"/>
          <w:szCs w:val="30"/>
          <w:lang w:val="en-US" w:eastAsia="zh-CN"/>
        </w:rPr>
        <w:t>7.基金分析</w:t>
      </w:r>
      <w:bookmarkEnd w:id="58"/>
      <w:bookmarkEnd w:id="59"/>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综合分析2023年第二季度年国外公开发表的35篇论文中，基金资助超过2篇文章的有8个，其中资助文献最多的基金是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numPr>
          <w:ilvl w:val="0"/>
          <w:numId w:val="0"/>
        </w:numPr>
        <w:ind w:firstLine="560" w:firstLineChars="200"/>
        <w:jc w:val="both"/>
        <w:rPr>
          <w:rFonts w:hint="eastAsia" w:ascii="仿宋" w:hAnsi="仿宋" w:eastAsia="仿宋" w:cs="仿宋"/>
          <w:b w:val="0"/>
          <w:bCs w:val="0"/>
          <w:sz w:val="28"/>
          <w:szCs w:val="28"/>
          <w:lang w:val="en-US" w:eastAsia="zh-CN"/>
        </w:rPr>
      </w:pP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pPr w:leftFromText="180" w:rightFromText="180" w:vertAnchor="text" w:horzAnchor="page" w:tblpX="1782" w:tblpY="309"/>
        <w:tblOverlap w:val="never"/>
        <w:tblW w:w="4998" w:type="pct"/>
        <w:tblInd w:w="0" w:type="dxa"/>
        <w:shd w:val="clear" w:color="auto" w:fill="auto"/>
        <w:tblLayout w:type="fixed"/>
        <w:tblCellMar>
          <w:top w:w="0" w:type="dxa"/>
          <w:left w:w="0" w:type="dxa"/>
          <w:bottom w:w="0" w:type="dxa"/>
          <w:right w:w="0" w:type="dxa"/>
        </w:tblCellMar>
      </w:tblPr>
      <w:tblGrid>
        <w:gridCol w:w="580"/>
        <w:gridCol w:w="6930"/>
        <w:gridCol w:w="823"/>
      </w:tblGrid>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4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 Nsfc</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And Technology Project Of Hebei Education Department</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Collaborative Innovation Center Of Chestnut Industry</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Ministry Of Oceans Fisheries Mof Republic Of Korea</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 T Program Of Hebei</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Research Foundation Of Hebei Normal University Of Science And Technology</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Foundation Of Hebei Normal University Of Science And Technology</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60" w:name="_Toc26632"/>
      <w:bookmarkStart w:id="61" w:name="_Toc27050"/>
      <w:r>
        <w:rPr>
          <w:rFonts w:hint="eastAsia" w:ascii="仿宋" w:hAnsi="仿宋" w:eastAsia="仿宋" w:cs="仿宋"/>
          <w:b/>
          <w:bCs/>
          <w:sz w:val="30"/>
          <w:szCs w:val="30"/>
          <w:lang w:val="en-US" w:eastAsia="zh-CN"/>
        </w:rPr>
        <w:t>8.被引分析</w:t>
      </w:r>
      <w:bookmarkEnd w:id="60"/>
      <w:bookmarkEnd w:id="61"/>
    </w:p>
    <w:p>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综合分析2023年第二季度国外公开发表的35篇论文中，只有一篇文章被引用，具体分布见表12。</w:t>
      </w:r>
    </w:p>
    <w:p>
      <w:pPr>
        <w:numPr>
          <w:ilvl w:val="0"/>
          <w:numId w:val="0"/>
        </w:numPr>
        <w:ind w:firstLine="964" w:firstLineChars="400"/>
        <w:jc w:val="left"/>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2023年第二季度国外发文被引频次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Herbicidal activity and biochemical characteristics of the botanical drupacine against Amaranthus retroflexus L</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YU, Hua-long; TIAN, Ci; SHEN, Rong-yan; ZHAO, Han; YANG, Juan; DONG, Jin-gao; ZHANG, Li-hui; MA, Shu-jie</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bookmarkEnd w:id="54"/>
    </w:tbl>
    <w:p>
      <w:pPr>
        <w:jc w:val="left"/>
      </w:pPr>
      <w:bookmarkStart w:id="62" w:name="_GoBack"/>
      <w:bookmarkEnd w:id="62"/>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000000"/>
    <w:rsid w:val="019C24C6"/>
    <w:rsid w:val="021C5F9F"/>
    <w:rsid w:val="02CF1A1C"/>
    <w:rsid w:val="02F868C8"/>
    <w:rsid w:val="03601D9E"/>
    <w:rsid w:val="038A7F2F"/>
    <w:rsid w:val="03936383"/>
    <w:rsid w:val="0495645F"/>
    <w:rsid w:val="04C12812"/>
    <w:rsid w:val="06377034"/>
    <w:rsid w:val="074C2D13"/>
    <w:rsid w:val="08065CD1"/>
    <w:rsid w:val="08636427"/>
    <w:rsid w:val="087C5B35"/>
    <w:rsid w:val="08AE1213"/>
    <w:rsid w:val="0BF1297F"/>
    <w:rsid w:val="0CFF4E94"/>
    <w:rsid w:val="0FE35C25"/>
    <w:rsid w:val="10634615"/>
    <w:rsid w:val="1227130F"/>
    <w:rsid w:val="13105886"/>
    <w:rsid w:val="13136B57"/>
    <w:rsid w:val="139416D0"/>
    <w:rsid w:val="13987AF7"/>
    <w:rsid w:val="13F412D5"/>
    <w:rsid w:val="144964D4"/>
    <w:rsid w:val="157B3785"/>
    <w:rsid w:val="157F3E5B"/>
    <w:rsid w:val="158A52FB"/>
    <w:rsid w:val="17874709"/>
    <w:rsid w:val="18294A9A"/>
    <w:rsid w:val="1857555B"/>
    <w:rsid w:val="18741D50"/>
    <w:rsid w:val="189561A4"/>
    <w:rsid w:val="1A372FAB"/>
    <w:rsid w:val="1A5873E9"/>
    <w:rsid w:val="1AED378A"/>
    <w:rsid w:val="1C0520C8"/>
    <w:rsid w:val="1C65043A"/>
    <w:rsid w:val="1CBC59B1"/>
    <w:rsid w:val="1CE92B97"/>
    <w:rsid w:val="1D9751D2"/>
    <w:rsid w:val="1DAB7B4F"/>
    <w:rsid w:val="1DC96DC2"/>
    <w:rsid w:val="1ED8720B"/>
    <w:rsid w:val="1F861120"/>
    <w:rsid w:val="211309FB"/>
    <w:rsid w:val="21435025"/>
    <w:rsid w:val="21536F14"/>
    <w:rsid w:val="22285904"/>
    <w:rsid w:val="226635E8"/>
    <w:rsid w:val="233E4387"/>
    <w:rsid w:val="23491031"/>
    <w:rsid w:val="23A743D7"/>
    <w:rsid w:val="23D63EB9"/>
    <w:rsid w:val="25675458"/>
    <w:rsid w:val="26492636"/>
    <w:rsid w:val="26540FE6"/>
    <w:rsid w:val="266E7171"/>
    <w:rsid w:val="26A93E40"/>
    <w:rsid w:val="28256F59"/>
    <w:rsid w:val="28B05E51"/>
    <w:rsid w:val="28FA3930"/>
    <w:rsid w:val="298E7BCC"/>
    <w:rsid w:val="299D4AAE"/>
    <w:rsid w:val="2A0868FC"/>
    <w:rsid w:val="2A1E1EF9"/>
    <w:rsid w:val="2C2D5988"/>
    <w:rsid w:val="2C3D740F"/>
    <w:rsid w:val="2DFC690D"/>
    <w:rsid w:val="2E8D26F5"/>
    <w:rsid w:val="2FAF6436"/>
    <w:rsid w:val="300D612B"/>
    <w:rsid w:val="30132E04"/>
    <w:rsid w:val="32DC7DB9"/>
    <w:rsid w:val="33186053"/>
    <w:rsid w:val="33D171F4"/>
    <w:rsid w:val="33EC74B8"/>
    <w:rsid w:val="34170ECB"/>
    <w:rsid w:val="34BC0E5B"/>
    <w:rsid w:val="35294481"/>
    <w:rsid w:val="38914172"/>
    <w:rsid w:val="38D14B6E"/>
    <w:rsid w:val="3AA8648A"/>
    <w:rsid w:val="3B026781"/>
    <w:rsid w:val="3B5963D6"/>
    <w:rsid w:val="3C0F5F44"/>
    <w:rsid w:val="3C8E6E90"/>
    <w:rsid w:val="3C8E78EF"/>
    <w:rsid w:val="3D203C2F"/>
    <w:rsid w:val="3DDC6D23"/>
    <w:rsid w:val="3E2264D4"/>
    <w:rsid w:val="3E520FD9"/>
    <w:rsid w:val="3EA5527B"/>
    <w:rsid w:val="40D235B1"/>
    <w:rsid w:val="421011B4"/>
    <w:rsid w:val="42312EBC"/>
    <w:rsid w:val="426F2679"/>
    <w:rsid w:val="42CB3316"/>
    <w:rsid w:val="43273B81"/>
    <w:rsid w:val="44386856"/>
    <w:rsid w:val="44BB4992"/>
    <w:rsid w:val="44F84B54"/>
    <w:rsid w:val="45E32462"/>
    <w:rsid w:val="46325B29"/>
    <w:rsid w:val="471E6504"/>
    <w:rsid w:val="48032514"/>
    <w:rsid w:val="4B545E24"/>
    <w:rsid w:val="4B5B4BC2"/>
    <w:rsid w:val="4CA42517"/>
    <w:rsid w:val="4DE77106"/>
    <w:rsid w:val="4EC0692D"/>
    <w:rsid w:val="4F4D5D7E"/>
    <w:rsid w:val="4FA01782"/>
    <w:rsid w:val="4FF16129"/>
    <w:rsid w:val="5022272A"/>
    <w:rsid w:val="526A1BE4"/>
    <w:rsid w:val="532C6A4B"/>
    <w:rsid w:val="53766CBE"/>
    <w:rsid w:val="547C45F3"/>
    <w:rsid w:val="54AC57C2"/>
    <w:rsid w:val="55D213BB"/>
    <w:rsid w:val="55FA7666"/>
    <w:rsid w:val="56492C8F"/>
    <w:rsid w:val="58D73E50"/>
    <w:rsid w:val="58FB4CED"/>
    <w:rsid w:val="5AD016BC"/>
    <w:rsid w:val="5AF22D78"/>
    <w:rsid w:val="5B38277B"/>
    <w:rsid w:val="5B8861B6"/>
    <w:rsid w:val="5D174C2A"/>
    <w:rsid w:val="5D7F24A9"/>
    <w:rsid w:val="5E49292E"/>
    <w:rsid w:val="61593803"/>
    <w:rsid w:val="61BA6334"/>
    <w:rsid w:val="62416172"/>
    <w:rsid w:val="62B83A1A"/>
    <w:rsid w:val="62C16D24"/>
    <w:rsid w:val="62DA2113"/>
    <w:rsid w:val="632E5AE9"/>
    <w:rsid w:val="63580562"/>
    <w:rsid w:val="63B831A3"/>
    <w:rsid w:val="66BA47AA"/>
    <w:rsid w:val="67202E55"/>
    <w:rsid w:val="67551F07"/>
    <w:rsid w:val="67FF3E86"/>
    <w:rsid w:val="680053D6"/>
    <w:rsid w:val="691213E4"/>
    <w:rsid w:val="69651CF1"/>
    <w:rsid w:val="69B26C1A"/>
    <w:rsid w:val="6A0D1870"/>
    <w:rsid w:val="6AA42D73"/>
    <w:rsid w:val="6CC469C3"/>
    <w:rsid w:val="6CFB1689"/>
    <w:rsid w:val="6D273A8A"/>
    <w:rsid w:val="6E3F6C09"/>
    <w:rsid w:val="6E8647B0"/>
    <w:rsid w:val="6EE64E2C"/>
    <w:rsid w:val="6FBF5509"/>
    <w:rsid w:val="703C172C"/>
    <w:rsid w:val="71A354E0"/>
    <w:rsid w:val="71BB3A25"/>
    <w:rsid w:val="71DD4ABF"/>
    <w:rsid w:val="72C83180"/>
    <w:rsid w:val="736A01FF"/>
    <w:rsid w:val="748557B7"/>
    <w:rsid w:val="74FC42B5"/>
    <w:rsid w:val="758E056E"/>
    <w:rsid w:val="770F010E"/>
    <w:rsid w:val="771E26AC"/>
    <w:rsid w:val="773D0EE8"/>
    <w:rsid w:val="78ED0A33"/>
    <w:rsid w:val="7948293C"/>
    <w:rsid w:val="7A577052"/>
    <w:rsid w:val="7AF97A35"/>
    <w:rsid w:val="7B321665"/>
    <w:rsid w:val="7BE15DB6"/>
    <w:rsid w:val="7C6932BF"/>
    <w:rsid w:val="7CB3424D"/>
    <w:rsid w:val="7DDF3BA1"/>
    <w:rsid w:val="7DFC2D81"/>
    <w:rsid w:val="7E264696"/>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character" w:customStyle="1" w:styleId="8">
    <w:name w:val="font01"/>
    <w:basedOn w:val="7"/>
    <w:qFormat/>
    <w:uiPriority w:val="0"/>
    <w:rPr>
      <w:rFonts w:ascii="Arial" w:hAnsi="Arial" w:cs="Arial"/>
      <w:b/>
      <w:color w:val="808080"/>
      <w:sz w:val="21"/>
      <w:szCs w:val="21"/>
      <w:u w:val="none"/>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 w:type="paragraph" w:customStyle="1" w:styleId="10">
    <w:name w:val="WPSOffice手动目录 2"/>
    <w:qFormat/>
    <w:uiPriority w:val="0"/>
    <w:pPr>
      <w:ind w:leftChars="200"/>
    </w:pPr>
    <w:rPr>
      <w:rFonts w:ascii="Times New Roman" w:hAnsi="Times New Roman" w:eastAsia="宋体" w:cs="Times New Roman"/>
      <w:sz w:val="20"/>
      <w:szCs w:val="20"/>
    </w:rPr>
  </w:style>
  <w:style w:type="paragraph" w:styleId="11">
    <w:name w:val="No Spacing"/>
    <w:unhideWhenUsed/>
    <w:qFormat/>
    <w:uiPriority w:val="1"/>
    <w:rPr>
      <w:rFonts w:hint="eastAsia" w:ascii="等线" w:hAnsi="等线" w:eastAsia="等线" w:cs="Times New Roman"/>
      <w:sz w:val="22"/>
      <w:szCs w:val="24"/>
      <w:lang w:val="en-US" w:eastAsia="zh-CN"/>
    </w:rPr>
  </w:style>
  <w:style w:type="character" w:customStyle="1" w:styleId="12">
    <w:name w:val="font11"/>
    <w:basedOn w:val="7"/>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6085;&#24120;&#24037;&#20316;--&#21457;&#25991;&#20998;&#26512;&#25253;&#21578;\2023&#31532;&#20108;&#23395;&#24230;&#21457;&#25991;&#20998;&#26512;&#25253;&#21578;\CNKI-2023&#31532;&#20108;&#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6085;&#24120;&#24037;&#20316;--&#21457;&#25991;&#20998;&#26512;&#25253;&#21578;\2023&#31532;&#20108;&#23395;&#24230;&#21457;&#25991;&#20998;&#26512;&#25253;&#21578;\CNKI-2023&#31532;&#20108;&#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6085;&#24120;&#24037;&#20316;--&#21457;&#25991;&#20998;&#26512;&#25253;&#21578;\2023&#31532;&#20108;&#23395;&#24230;&#21457;&#25991;&#20998;&#26512;&#25253;&#21578;\CNKI-2023&#31532;&#20108;&#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6085;&#24120;&#24037;&#20316;--&#21457;&#25991;&#20998;&#26512;&#25253;&#21578;\2023&#31532;&#20108;&#23395;&#24230;&#21457;&#25991;&#20998;&#26512;&#25253;&#21578;\CNKI-2023&#31532;&#20108;&#23395;&#2423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6085;&#24120;&#24037;&#20316;--&#21457;&#25991;&#20998;&#26512;&#25253;&#21578;\2023&#31532;&#20108;&#23395;&#24230;&#21457;&#25991;&#20998;&#26512;&#25253;&#21578;\WOS-2023&#31532;&#20108;&#23395;&#2423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'[CNKI-2023第二季度发文数据.xlsx]2.主题'!$E$2:$E$21</c:f>
              <c:strCache>
                <c:ptCount val="20"/>
                <c:pt idx="0">
                  <c:v>分离鉴定</c:v>
                </c:pt>
                <c:pt idx="1">
                  <c:v>河北省</c:v>
                </c:pt>
                <c:pt idx="2">
                  <c:v>桃</c:v>
                </c:pt>
                <c:pt idx="3">
                  <c:v>冀东地区</c:v>
                </c:pt>
                <c:pt idx="4">
                  <c:v>种质资源</c:v>
                </c:pt>
                <c:pt idx="5">
                  <c:v>乡村振兴</c:v>
                </c:pt>
                <c:pt idx="6">
                  <c:v>风景园林规划设计</c:v>
                </c:pt>
                <c:pt idx="7">
                  <c:v>课程思政</c:v>
                </c:pt>
                <c:pt idx="8">
                  <c:v>研究现状</c:v>
                </c:pt>
                <c:pt idx="9">
                  <c:v>实现路径</c:v>
                </c:pt>
                <c:pt idx="10">
                  <c:v>全基因组</c:v>
                </c:pt>
                <c:pt idx="11">
                  <c:v>干旱胁迫</c:v>
                </c:pt>
                <c:pt idx="12">
                  <c:v>杂交后代</c:v>
                </c:pt>
                <c:pt idx="13">
                  <c:v>综合评价</c:v>
                </c:pt>
                <c:pt idx="14">
                  <c:v>河北科技师范学院</c:v>
                </c:pt>
                <c:pt idx="15">
                  <c:v>海洋渔业</c:v>
                </c:pt>
                <c:pt idx="16">
                  <c:v>板栗红蜘蛛</c:v>
                </c:pt>
                <c:pt idx="17">
                  <c:v>理论逻辑</c:v>
                </c:pt>
                <c:pt idx="18">
                  <c:v>生物学特性</c:v>
                </c:pt>
                <c:pt idx="19">
                  <c:v>理化性质</c:v>
                </c:pt>
              </c:strCache>
            </c:strRef>
          </c:cat>
          <c:val>
            <c:numRef>
              <c:f>'[CNKI-2023第二季度发文数据.xlsx]2.主题'!$F$2:$F$21</c:f>
              <c:numCache>
                <c:formatCode>General</c:formatCode>
                <c:ptCount val="20"/>
                <c:pt idx="0">
                  <c:v>6</c:v>
                </c:pt>
                <c:pt idx="1">
                  <c:v>6</c:v>
                </c:pt>
                <c:pt idx="2">
                  <c:v>4</c:v>
                </c:pt>
                <c:pt idx="3">
                  <c:v>4</c:v>
                </c:pt>
                <c:pt idx="4">
                  <c:v>3</c:v>
                </c:pt>
                <c:pt idx="5">
                  <c:v>3</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'[CNKI-2023第二季度发文数据.xlsx]2.主题'!$L$2:$L$21</c:f>
              <c:strCache>
                <c:ptCount val="20"/>
                <c:pt idx="0">
                  <c:v>干物质积累</c:v>
                </c:pt>
                <c:pt idx="1">
                  <c:v>毒力基因</c:v>
                </c:pt>
                <c:pt idx="2">
                  <c:v>发病率</c:v>
                </c:pt>
                <c:pt idx="3">
                  <c:v>致病性试验</c:v>
                </c:pt>
                <c:pt idx="4">
                  <c:v>氮素转运</c:v>
                </c:pt>
                <c:pt idx="5">
                  <c:v>基因组</c:v>
                </c:pt>
                <c:pt idx="6">
                  <c:v>生化特性</c:v>
                </c:pt>
                <c:pt idx="7">
                  <c:v>冀东地区</c:v>
                </c:pt>
                <c:pt idx="8">
                  <c:v>病情指数</c:v>
                </c:pt>
                <c:pt idx="9">
                  <c:v>眼睑肿胀</c:v>
                </c:pt>
                <c:pt idx="10">
                  <c:v>飞燕草素</c:v>
                </c:pt>
                <c:pt idx="11">
                  <c:v>行动研究</c:v>
                </c:pt>
                <c:pt idx="12">
                  <c:v>定价机制</c:v>
                </c:pt>
                <c:pt idx="13">
                  <c:v>肌苷酸</c:v>
                </c:pt>
                <c:pt idx="14">
                  <c:v>蛋品质</c:v>
                </c:pt>
                <c:pt idx="15">
                  <c:v>药敏试验</c:v>
                </c:pt>
                <c:pt idx="16">
                  <c:v>蛋白质组学</c:v>
                </c:pt>
                <c:pt idx="17">
                  <c:v>病原菌</c:v>
                </c:pt>
                <c:pt idx="18">
                  <c:v>产酸量</c:v>
                </c:pt>
                <c:pt idx="19">
                  <c:v>教学改革</c:v>
                </c:pt>
              </c:strCache>
            </c:strRef>
          </c:cat>
          <c:val>
            <c:numRef>
              <c:f>'[CNKI-2023第二季度发文数据.xlsx]2.主题'!$M$2:$M$21</c:f>
              <c:numCache>
                <c:formatCode>General</c:formatCode>
                <c:ptCount val="20"/>
                <c:pt idx="0">
                  <c:v>3</c:v>
                </c:pt>
                <c:pt idx="1">
                  <c:v>3</c:v>
                </c:pt>
                <c:pt idx="2">
                  <c:v>3</c:v>
                </c:pt>
                <c:pt idx="3">
                  <c:v>2</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'[CNKI-2023第二季度发文数据.xlsx]3.关键词'!$C$3:$C$34</c:f>
              <c:strCache>
                <c:ptCount val="32"/>
                <c:pt idx="0">
                  <c:v>板栗</c:v>
                </c:pt>
                <c:pt idx="1">
                  <c:v>冀东地区</c:v>
                </c:pt>
                <c:pt idx="2">
                  <c:v>结构</c:v>
                </c:pt>
                <c:pt idx="3">
                  <c:v>桃</c:v>
                </c:pt>
                <c:pt idx="4">
                  <c:v>乡村振兴</c:v>
                </c:pt>
                <c:pt idx="5">
                  <c:v>毒力基因</c:v>
                </c:pt>
                <c:pt idx="6">
                  <c:v>干物质积累</c:v>
                </c:pt>
                <c:pt idx="7">
                  <c:v>河北省</c:v>
                </c:pt>
                <c:pt idx="8">
                  <c:v>课程思政</c:v>
                </c:pt>
                <c:pt idx="9">
                  <c:v>理化性质</c:v>
                </c:pt>
                <c:pt idx="10">
                  <c:v>种质资源</c:v>
                </c:pt>
                <c:pt idx="11">
                  <c:v>板栗红蜘蛛</c:v>
                </c:pt>
                <c:pt idx="12">
                  <c:v>防治效果</c:v>
                </c:pt>
                <c:pt idx="13">
                  <c:v>干旱胁迫</c:v>
                </c:pt>
                <c:pt idx="14">
                  <c:v>果实品质</c:v>
                </c:pt>
                <c:pt idx="15">
                  <c:v>果园生草</c:v>
                </c:pt>
                <c:pt idx="16">
                  <c:v>海洋渔业</c:v>
                </c:pt>
                <c:pt idx="17">
                  <c:v>鉴定</c:v>
                </c:pt>
                <c:pt idx="18">
                  <c:v>教学改革</c:v>
                </c:pt>
                <c:pt idx="19">
                  <c:v>理论逻辑</c:v>
                </c:pt>
                <c:pt idx="20">
                  <c:v>路径</c:v>
                </c:pt>
                <c:pt idx="21">
                  <c:v>筛选</c:v>
                </c:pt>
                <c:pt idx="22">
                  <c:v>生物学特性</c:v>
                </c:pt>
                <c:pt idx="23">
                  <c:v>生长性能</c:v>
                </c:pt>
                <c:pt idx="24">
                  <c:v>现状</c:v>
                </c:pt>
                <c:pt idx="25">
                  <c:v>研究现状</c:v>
                </c:pt>
                <c:pt idx="26">
                  <c:v>药敏试验</c:v>
                </c:pt>
                <c:pt idx="27">
                  <c:v>遗传多样性</c:v>
                </c:pt>
                <c:pt idx="28">
                  <c:v>职业教育</c:v>
                </c:pt>
                <c:pt idx="29">
                  <c:v>致病性试验</c:v>
                </c:pt>
                <c:pt idx="30">
                  <c:v>籽粒产量</c:v>
                </c:pt>
                <c:pt idx="31">
                  <c:v>综合评价</c:v>
                </c:pt>
              </c:strCache>
            </c:strRef>
          </c:cat>
          <c:val>
            <c:numRef>
              <c:f>'[CNKI-2023第二季度发文数据.xlsx]3.关键词'!$D$3:$D$34</c:f>
              <c:numCache>
                <c:formatCode>General</c:formatCode>
                <c:ptCount val="32"/>
                <c:pt idx="0">
                  <c:v>6</c:v>
                </c:pt>
                <c:pt idx="1">
                  <c:v>4</c:v>
                </c:pt>
                <c:pt idx="2">
                  <c:v>4</c:v>
                </c:pt>
                <c:pt idx="3" c:formatCode="@">
                  <c:v>4</c:v>
                </c:pt>
                <c:pt idx="4">
                  <c:v>4</c:v>
                </c:pt>
                <c:pt idx="5">
                  <c:v>3</c:v>
                </c:pt>
                <c:pt idx="6">
                  <c:v>3</c:v>
                </c:pt>
                <c:pt idx="7">
                  <c:v>3</c:v>
                </c:pt>
                <c:pt idx="8">
                  <c:v>3</c:v>
                </c:pt>
                <c:pt idx="9">
                  <c:v>3</c:v>
                </c:pt>
                <c:pt idx="10">
                  <c:v>3</c:v>
                </c:pt>
                <c:pt idx="11" c:formatCode="@">
                  <c:v>2</c:v>
                </c:pt>
                <c:pt idx="12">
                  <c:v>2</c:v>
                </c:pt>
                <c:pt idx="13">
                  <c:v>2</c:v>
                </c:pt>
                <c:pt idx="14">
                  <c:v>2</c:v>
                </c:pt>
                <c:pt idx="15" c:formatCode="@">
                  <c:v>2</c:v>
                </c:pt>
                <c:pt idx="16" c:formatCode="@">
                  <c:v>2</c:v>
                </c:pt>
                <c:pt idx="17">
                  <c:v>2</c:v>
                </c:pt>
                <c:pt idx="18">
                  <c:v>2</c:v>
                </c:pt>
                <c:pt idx="19">
                  <c:v>2</c:v>
                </c:pt>
                <c:pt idx="20">
                  <c:v>2</c:v>
                </c:pt>
                <c:pt idx="21">
                  <c:v>2</c:v>
                </c:pt>
                <c:pt idx="22">
                  <c:v>2</c:v>
                </c:pt>
                <c:pt idx="23">
                  <c:v>2</c:v>
                </c:pt>
                <c:pt idx="24">
                  <c:v>2</c:v>
                </c:pt>
                <c:pt idx="25">
                  <c:v>2</c:v>
                </c:pt>
                <c:pt idx="26">
                  <c:v>2</c:v>
                </c:pt>
                <c:pt idx="27">
                  <c:v>2</c:v>
                </c:pt>
                <c:pt idx="28" c:formatCode="@">
                  <c:v>2</c:v>
                </c:pt>
                <c:pt idx="29">
                  <c:v>2</c:v>
                </c:pt>
                <c:pt idx="30">
                  <c:v>2</c:v>
                </c:pt>
                <c:pt idx="31">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radarChart>
        <c:radarStyle val="marker"/>
        <c:varyColors val="0"/>
        <c:ser>
          <c:idx val="0"/>
          <c:order val="0"/>
          <c:spPr>
            <a:ln w="50800" cap="rnd" cmpd="sng" algn="ctr">
              <a:solidFill>
                <a:schemeClr val="accent3">
                  <a:alpha val="30000"/>
                </a:schemeClr>
              </a:solidFill>
              <a:round/>
            </a:ln>
            <a:effectLst/>
          </c:spPr>
          <c:marker>
            <c:symbol val="none"/>
          </c:marker>
          <c:dLbls>
            <c:delete val="1"/>
          </c:dLbls>
          <c:cat>
            <c:strRef>
              <c:f>'[CNKI-2023第二季度发文数据.xlsx]7.合作单位'!$G$3:$G$21</c:f>
              <c:strCache>
                <c:ptCount val="19"/>
                <c:pt idx="0">
                  <c:v>河北农业大学</c:v>
                </c:pt>
                <c:pt idx="1">
                  <c:v>燕山大学</c:v>
                </c:pt>
                <c:pt idx="2">
                  <c:v>中国农业大学</c:v>
                </c:pt>
                <c:pt idx="3">
                  <c:v>石家庄学院</c:v>
                </c:pt>
                <c:pt idx="4">
                  <c:v>北京林业大学</c:v>
                </c:pt>
                <c:pt idx="5">
                  <c:v>中国农业科学院北京畜牧兽医研究所</c:v>
                </c:pt>
                <c:pt idx="6">
                  <c:v>大连赛姆生物工程技术有限公司</c:v>
                </c:pt>
                <c:pt idx="7">
                  <c:v>福建省近岸海域环境监测站</c:v>
                </c:pt>
                <c:pt idx="8">
                  <c:v>河北科技大学</c:v>
                </c:pt>
                <c:pt idx="9">
                  <c:v>河北省畜牧兽医研究所</c:v>
                </c:pt>
                <c:pt idx="10">
                  <c:v>南昌大学</c:v>
                </c:pt>
                <c:pt idx="11">
                  <c:v>莆田市河务管理中心</c:v>
                </c:pt>
                <c:pt idx="12">
                  <c:v>石家庄长安区奥北幼儿园</c:v>
                </c:pt>
                <c:pt idx="13">
                  <c:v>石家庄长安区亚龙幼儿园</c:v>
                </c:pt>
                <c:pt idx="14">
                  <c:v>唐山市食品药品综合检验检测中心</c:v>
                </c:pt>
                <c:pt idx="15">
                  <c:v>中国农业科学院兰州兽医研究所</c:v>
                </c:pt>
                <c:pt idx="16">
                  <c:v>中国农业科学院蔬菜花卉研究所</c:v>
                </c:pt>
                <c:pt idx="17">
                  <c:v>中国农业科学院特产研究所</c:v>
                </c:pt>
                <c:pt idx="18">
                  <c:v>中国农业科学院植物保护研究所</c:v>
                </c:pt>
              </c:strCache>
            </c:strRef>
          </c:cat>
          <c:val>
            <c:numRef>
              <c:f>'[CNKI-2023第二季度发文数据.xlsx]7.合作单位'!$H$3:$H$21</c:f>
              <c:numCache>
                <c:formatCode>@</c:formatCode>
                <c:ptCount val="19"/>
                <c:pt idx="0">
                  <c:v>6</c:v>
                </c:pt>
                <c:pt idx="1" c:formatCode="General">
                  <c:v>6</c:v>
                </c:pt>
                <c:pt idx="2">
                  <c:v>6</c:v>
                </c:pt>
                <c:pt idx="3" c:formatCode="General">
                  <c:v>4</c:v>
                </c:pt>
                <c:pt idx="4" c:formatCode="General">
                  <c:v>3</c:v>
                </c:pt>
                <c:pt idx="5">
                  <c:v>3</c:v>
                </c:pt>
                <c:pt idx="6" c:formatCode="General">
                  <c:v>2</c:v>
                </c:pt>
                <c:pt idx="7">
                  <c:v>2</c:v>
                </c:pt>
                <c:pt idx="8" c:formatCode="General">
                  <c:v>2</c:v>
                </c:pt>
                <c:pt idx="9" c:formatCode="General">
                  <c:v>2</c:v>
                </c:pt>
                <c:pt idx="10">
                  <c:v>2</c:v>
                </c:pt>
                <c:pt idx="11" c:formatCode="General">
                  <c:v>2</c:v>
                </c:pt>
                <c:pt idx="12" c:formatCode="General">
                  <c:v>2</c:v>
                </c:pt>
                <c:pt idx="13" c:formatCode="General">
                  <c:v>2</c:v>
                </c:pt>
                <c:pt idx="14" c:formatCode="General">
                  <c:v>2</c:v>
                </c:pt>
                <c:pt idx="15">
                  <c:v>2</c:v>
                </c:pt>
                <c:pt idx="16" c:formatCode="General">
                  <c:v>2</c:v>
                </c:pt>
                <c:pt idx="17">
                  <c:v>2</c:v>
                </c:pt>
                <c:pt idx="18" c:formatCode="General">
                  <c:v>2</c:v>
                </c:pt>
              </c:numCache>
            </c:numRef>
          </c:val>
        </c:ser>
        <c:dLbls>
          <c:showLegendKey val="0"/>
          <c:showVal val="0"/>
          <c:showCatName val="0"/>
          <c:showSerName val="0"/>
          <c:showPercent val="0"/>
          <c:showBubbleSize val="0"/>
        </c:dLbls>
        <c:axId val="936126952"/>
        <c:axId val="481877602"/>
      </c:radarChart>
      <c:catAx>
        <c:axId val="936126952"/>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50000"/>
                    <a:lumOff val="50000"/>
                  </a:schemeClr>
                </a:solidFill>
                <a:latin typeface="+mn-lt"/>
                <a:ea typeface="+mn-ea"/>
                <a:cs typeface="+mn-cs"/>
              </a:defRPr>
            </a:pPr>
          </a:p>
        </c:txPr>
        <c:crossAx val="481877602"/>
        <c:crosses val="autoZero"/>
        <c:auto val="1"/>
        <c:lblAlgn val="ctr"/>
        <c:lblOffset val="100"/>
        <c:noMultiLvlLbl val="0"/>
      </c:catAx>
      <c:valAx>
        <c:axId val="481877602"/>
        <c:scaling>
          <c:orientation val="minMax"/>
        </c:scaling>
        <c:delete val="0"/>
        <c:axPos val="l"/>
        <c:majorGridlines>
          <c:spPr>
            <a:ln w="9525" cap="flat" cmpd="sng" algn="ctr">
              <a:solidFill>
                <a:schemeClr val="dk1">
                  <a:lumMod val="15000"/>
                  <a:lumOff val="85000"/>
                </a:schemeClr>
              </a:solidFill>
              <a:round/>
            </a:ln>
            <a:effectLst/>
          </c:spPr>
        </c:majorGridlines>
        <c:numFmt formatCode="@"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50000"/>
                    <a:lumOff val="50000"/>
                  </a:schemeClr>
                </a:solidFill>
                <a:latin typeface="+mn-lt"/>
                <a:ea typeface="+mn-ea"/>
                <a:cs typeface="+mn-cs"/>
              </a:defRPr>
            </a:pPr>
          </a:p>
        </c:txPr>
        <c:crossAx val="936126952"/>
        <c:crosses val="autoZero"/>
        <c:crossBetween val="between"/>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gra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合作机构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'[WOS-2023第二季度发文数据.xlsx]6合作机构'!$H$3:$H$12</c:f>
              <c:strCache>
                <c:ptCount val="10"/>
                <c:pt idx="0">
                  <c:v>Chinese Academy of Agricultural Sciences</c:v>
                </c:pt>
                <c:pt idx="1">
                  <c:v>Chinese Academy of Sciences</c:v>
                </c:pt>
                <c:pt idx="2">
                  <c:v>Ministry of Agriculture &amp; Rural Affairs</c:v>
                </c:pt>
                <c:pt idx="3">
                  <c:v>Hebei Agricultural University</c:v>
                </c:pt>
                <c:pt idx="4">
                  <c:v>Institute of Special Animal &amp; Plant Sciences, CAAS</c:v>
                </c:pt>
                <c:pt idx="5">
                  <c:v>Tianjin University Science &amp; Technology</c:v>
                </c:pt>
                <c:pt idx="6">
                  <c:v>Yanshan University</c:v>
                </c:pt>
                <c:pt idx="7">
                  <c:v>Hebei Academy of Agricultural &amp; Forestry Sciences</c:v>
                </c:pt>
                <c:pt idx="8">
                  <c:v>Institute of Crop Sciences, CAAS</c:v>
                </c:pt>
                <c:pt idx="9">
                  <c:v>Qingdao Agricultural University</c:v>
                </c:pt>
              </c:strCache>
            </c:strRef>
          </c:cat>
          <c:val>
            <c:numRef>
              <c:f>'[WOS-2023第二季度发文数据.xlsx]6合作机构'!$I$3:$I$12</c:f>
              <c:numCache>
                <c:formatCode>General</c:formatCode>
                <c:ptCount val="10"/>
                <c:pt idx="0">
                  <c:v>7</c:v>
                </c:pt>
                <c:pt idx="1">
                  <c:v>5</c:v>
                </c:pt>
                <c:pt idx="2">
                  <c:v>5</c:v>
                </c:pt>
                <c:pt idx="3">
                  <c:v>4</c:v>
                </c:pt>
                <c:pt idx="4">
                  <c:v>4</c:v>
                </c:pt>
                <c:pt idx="5">
                  <c:v>4</c:v>
                </c:pt>
                <c:pt idx="6">
                  <c:v>4</c:v>
                </c:pt>
                <c:pt idx="7">
                  <c:v>3</c:v>
                </c:pt>
                <c:pt idx="8">
                  <c:v>3</c:v>
                </c:pt>
                <c:pt idx="9">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74305555555556"/>
          <c:y val="0.222222222222222"/>
          <c:w val="0.421527777777778"/>
          <c:h val="0.66132478632478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9">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
  <cs:dataPoint3D>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3D>
  <cs:dataPointLine>
    <cs:lnRef idx="0">
      <cs:styleClr val="auto"/>
    </cs:lnRef>
    <cs:fillRef idx="0"/>
    <cs:effectRef idx="0"/>
    <cs:fontRef idx="minor">
      <a:schemeClr val="tx1"/>
    </cs:fontRef>
    <cs:spPr>
      <a:ln w="50800" cap="rnd" cmpd="sng" algn="ctr">
        <a:solidFill>
          <a:schemeClr val="phClr">
            <a:alpha val="30000"/>
          </a:schemeClr>
        </a:solidFill>
        <a:round/>
      </a:ln>
    </cs:spPr>
  </cs:dataPointLine>
  <cs:dataPointMarker>
    <cs:lnRef idx="0"/>
    <cs:fillRef idx="0">
      <cs:styleClr val="auto"/>
    </cs:fillRef>
    <cs:effectRef idx="0"/>
    <cs:fontRef idx="minor">
      <a:schemeClr val="tx1"/>
    </cs:fontRef>
    <cs:spPr>
      <a:solidFill>
        <a:schemeClr val="phClr"/>
      </a:solidFill>
      <a:ln w="12700" cap="flat" cmpd="sng" algn="ctr">
        <a:solidFill>
          <a:schemeClr val="lt1"/>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3573</Words>
  <Characters>4989</Characters>
  <Lines>0</Lines>
  <Paragraphs>0</Paragraphs>
  <TotalTime>1</TotalTime>
  <ScaleCrop>false</ScaleCrop>
  <LinksUpToDate>false</LinksUpToDate>
  <CharactersWithSpaces>5548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2023-09-08T07:49:26Z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67EB0E9F885749A28F66DD34A42035C8</vt:lpwstr>
  </property>
</Properties>
</file>