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default" w:ascii="微软雅黑" w:hAnsi="微软雅黑" w:eastAsia="微软雅黑"/>
          <w:sz w:val="28"/>
          <w:u w:val="single"/>
        </w:rPr>
        <w:sectPr>
          <w:pgSz w:w="11906" w:h="16838"/>
          <w:pgMar w:top="1440" w:right="1080" w:bottom="1440" w:left="1080" w:header="1134" w:footer="794" w:gutter="0"/>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2023年</w:t>
                            </w:r>
                            <w:r>
                              <w:rPr>
                                <w:rFonts w:hint="default" w:ascii="微软雅黑" w:hAnsi="微软雅黑" w:eastAsia="微软雅黑"/>
                                <w:b/>
                                <w:color w:val="5B9BD5"/>
                                <w:sz w:val="28"/>
                              </w:rPr>
                              <w:t>7</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2023年</w:t>
                      </w:r>
                      <w:r>
                        <w:rPr>
                          <w:rFonts w:hint="default" w:ascii="微软雅黑" w:hAnsi="微软雅黑" w:eastAsia="微软雅黑"/>
                          <w:b/>
                          <w:color w:val="5B9BD5"/>
                          <w:sz w:val="28"/>
                        </w:rPr>
                        <w:t>7</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2023年</w:t>
                            </w:r>
                            <w:r>
                              <w:rPr>
                                <w:rFonts w:hint="eastAsia" w:ascii="微软雅黑" w:hAnsi="微软雅黑" w:eastAsia="微软雅黑"/>
                                <w:b/>
                                <w:color w:val="5B9BD5"/>
                                <w:sz w:val="52"/>
                                <w:szCs w:val="52"/>
                                <w:u w:val="dashLongHeavy"/>
                                <w:lang w:eastAsia="zh-CN"/>
                              </w:rPr>
                              <w:t>第二季度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2023年</w:t>
                      </w:r>
                      <w:r>
                        <w:rPr>
                          <w:rFonts w:hint="eastAsia" w:ascii="微软雅黑" w:hAnsi="微软雅黑" w:eastAsia="微软雅黑"/>
                          <w:b/>
                          <w:color w:val="5B9BD5"/>
                          <w:sz w:val="52"/>
                          <w:szCs w:val="52"/>
                          <w:u w:val="dashLongHeavy"/>
                          <w:lang w:eastAsia="zh-CN"/>
                        </w:rPr>
                        <w:t>第二季度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default" w:ascii="微软雅黑" w:hAnsi="微软雅黑" w:eastAsia="微软雅黑"/>
                          <w:color w:val="000000"/>
                          <w:sz w:val="48"/>
                        </w:rPr>
                      </w:pPr>
                    </w:p>
                  </w:txbxContent>
                </v:textbox>
              </v:shape>
            </w:pict>
          </mc:Fallback>
        </mc:AlternateContent>
      </w:r>
    </w:p>
    <w:p>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（1）中国知网（CNKI）专利数据库，数据统计下载日期为2023年</w:t>
      </w:r>
      <w:r>
        <w:rPr>
          <w:rFonts w:hint="default" w:ascii="仿宋" w:hAnsi="仿宋" w:eastAsia="仿宋" w:cs="仿宋"/>
          <w:sz w:val="28"/>
          <w:szCs w:val="28"/>
        </w:rPr>
        <w:t>7</w:t>
      </w:r>
      <w:r>
        <w:rPr>
          <w:rFonts w:ascii="仿宋" w:hAnsi="仿宋" w:eastAsia="仿宋" w:cs="仿宋"/>
          <w:sz w:val="28"/>
          <w:szCs w:val="28"/>
        </w:rPr>
        <w:t>月18日。</w:t>
      </w:r>
    </w:p>
    <w:p>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（2）国家知识产权局专利检索及分析数据库，数据统计下载日期为2023年</w:t>
      </w:r>
      <w:r>
        <w:rPr>
          <w:rFonts w:hint="default" w:ascii="仿宋" w:hAnsi="仿宋" w:eastAsia="仿宋" w:cs="仿宋"/>
          <w:sz w:val="28"/>
          <w:szCs w:val="28"/>
        </w:rPr>
        <w:t>7</w:t>
      </w:r>
      <w:r>
        <w:rPr>
          <w:rFonts w:ascii="仿宋" w:hAnsi="仿宋" w:eastAsia="仿宋" w:cs="仿宋"/>
          <w:sz w:val="28"/>
          <w:szCs w:val="28"/>
        </w:rPr>
        <w:t>月23日。</w:t>
      </w:r>
    </w:p>
    <w:p>
      <w:pPr>
        <w:spacing w:line="480" w:lineRule="auto"/>
        <w:outlineLvl w:val="0"/>
        <w:rPr>
          <w:rFonts w:hint="default" w:ascii="仿宋" w:hAnsi="仿宋" w:eastAsia="仿宋" w:cs="仿宋"/>
          <w:sz w:val="28"/>
          <w:szCs w:val="28"/>
        </w:rPr>
      </w:pPr>
      <w:bookmarkStart w:id="0" w:name="_Toc9203"/>
      <w:bookmarkStart w:id="1" w:name="_Toc5625"/>
      <w:bookmarkStart w:id="2" w:name="_Toc9874"/>
      <w:bookmarkStart w:id="3" w:name="_Toc20858"/>
      <w:bookmarkStart w:id="4" w:name="_Toc31217"/>
      <w:r>
        <w:rPr>
          <w:rFonts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default" w:ascii="仿宋" w:hAnsi="仿宋" w:eastAsia="仿宋" w:cs="仿宋"/>
          <w:sz w:val="28"/>
          <w:szCs w:val="28"/>
        </w:rPr>
      </w:pPr>
      <w:bookmarkStart w:id="5" w:name="_Toc3908"/>
      <w:bookmarkStart w:id="6" w:name="_Toc25482"/>
      <w:bookmarkStart w:id="7" w:name="_Toc29516"/>
      <w:bookmarkStart w:id="8" w:name="_Toc17869"/>
      <w:bookmarkStart w:id="9" w:name="_Toc11709"/>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pPr>
        <w:spacing w:line="480" w:lineRule="auto"/>
        <w:jc w:val="left"/>
        <w:outlineLvl w:val="0"/>
        <w:rPr>
          <w:rFonts w:hint="default" w:ascii="仿宋" w:hAnsi="仿宋" w:eastAsia="仿宋" w:cs="仿宋"/>
          <w:sz w:val="28"/>
          <w:szCs w:val="28"/>
        </w:rPr>
      </w:pPr>
      <w:bookmarkStart w:id="10" w:name="_Toc10280"/>
      <w:bookmarkStart w:id="11" w:name="_Toc6044"/>
      <w:bookmarkStart w:id="12" w:name="_Toc27907"/>
      <w:bookmarkStart w:id="13" w:name="_Toc2529"/>
      <w:bookmarkStart w:id="14" w:name="_Toc5698"/>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pPr>
        <w:adjustRightInd/>
        <w:spacing w:line="240" w:lineRule="atLeast"/>
        <w:rPr>
          <w:rFonts w:hint="default" w:ascii="仿宋" w:hAnsi="仿宋" w:eastAsia="仿宋" w:cs="仿宋"/>
          <w:sz w:val="28"/>
          <w:szCs w:val="28"/>
        </w:rPr>
      </w:pPr>
    </w:p>
    <w:p>
      <w:pPr>
        <w:rPr>
          <w:rFonts w:hint="default"/>
        </w:rPr>
      </w:pPr>
    </w:p>
    <w:p>
      <w:pPr>
        <w:rPr>
          <w:rFonts w:hint="default"/>
        </w:rPr>
      </w:pPr>
    </w:p>
    <w:p>
      <w:pPr>
        <w:rPr>
          <w:rFonts w:hint="default"/>
        </w:rPr>
        <w:sectPr>
          <w:pgSz w:w="11906" w:h="16838"/>
          <w:pgMar w:top="1440" w:right="1800" w:bottom="1440" w:left="1800" w:header="851" w:footer="992" w:gutter="0"/>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10</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rPr>
              <w:b/>
            </w:rPr>
          </w:pPr>
        </w:p>
        <w:p>
          <w:pPr>
            <w:rPr>
              <w:rFonts w:hint="default"/>
            </w:rPr>
          </w:pPr>
          <w:r>
            <w:rPr>
              <w:b/>
            </w:rPr>
            <w:fldChar w:fldCharType="end"/>
          </w:r>
        </w:p>
      </w:sdtContent>
    </w:sdt>
    <w:p>
      <w:pPr>
        <w:jc w:val="center"/>
        <w:outlineLvl w:val="0"/>
        <w:rPr>
          <w:rFonts w:hint="default" w:ascii="黑体" w:hAnsi="黑体" w:eastAsia="黑体" w:cs="黑体"/>
          <w:b/>
          <w:bCs/>
          <w:sz w:val="44"/>
          <w:szCs w:val="44"/>
        </w:rPr>
      </w:pPr>
      <w:bookmarkStart w:id="15" w:name="_Toc30326"/>
      <w:bookmarkStart w:id="16" w:name="_Toc10728"/>
      <w:bookmarkStart w:id="17" w:name="_Toc32336"/>
      <w:bookmarkStart w:id="18" w:name="_Toc10613"/>
      <w:bookmarkStart w:id="19" w:name="_Toc23538"/>
      <w:bookmarkStart w:id="20" w:name="_Toc10867"/>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pPr>
        <w:jc w:val="center"/>
        <w:outlineLvl w:val="0"/>
        <w:rPr>
          <w:rFonts w:hint="default" w:ascii="黑体" w:hAnsi="黑体" w:eastAsia="黑体" w:cs="黑体"/>
          <w:b/>
          <w:bCs/>
          <w:sz w:val="44"/>
          <w:szCs w:val="44"/>
        </w:rPr>
      </w:pPr>
      <w:bookmarkStart w:id="21" w:name="_Toc29920"/>
      <w:bookmarkStart w:id="22" w:name="_Toc8609"/>
      <w:bookmarkStart w:id="23" w:name="_Toc23731"/>
      <w:bookmarkStart w:id="24" w:name="_Toc9198"/>
      <w:bookmarkStart w:id="25" w:name="_Toc23894"/>
      <w:bookmarkStart w:id="26" w:name="_Toc18557"/>
      <w:r>
        <w:rPr>
          <w:rFonts w:ascii="黑体" w:hAnsi="黑体" w:eastAsia="黑体" w:cs="黑体"/>
          <w:b/>
          <w:bCs/>
          <w:sz w:val="44"/>
          <w:szCs w:val="44"/>
        </w:rPr>
        <w:t>2023年第二季度专利情况统计分析报告</w:t>
      </w:r>
      <w:bookmarkEnd w:id="21"/>
      <w:bookmarkEnd w:id="22"/>
      <w:bookmarkEnd w:id="23"/>
      <w:bookmarkEnd w:id="24"/>
      <w:bookmarkEnd w:id="25"/>
      <w:bookmarkEnd w:id="26"/>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通过CNKI数据库和国家知识产权局专利检索及分析数据库检索，在2023年第二季度，以河北科技师范学院为申请人的专利公布公告43件，具体分布情况见表1。2023年第二季度，我校申请专利总体趋于</w:t>
      </w:r>
      <w:r>
        <w:rPr>
          <w:rFonts w:hint="eastAsia" w:ascii="仿宋" w:hAnsi="仿宋" w:eastAsia="仿宋" w:cs="仿宋"/>
          <w:sz w:val="28"/>
          <w:szCs w:val="28"/>
          <w:lang w:val="en-US" w:eastAsia="zh-CN"/>
        </w:rPr>
        <w:t>上升</w:t>
      </w:r>
      <w:r>
        <w:rPr>
          <w:rFonts w:ascii="仿宋" w:hAnsi="仿宋" w:eastAsia="仿宋" w:cs="仿宋"/>
          <w:sz w:val="28"/>
          <w:szCs w:val="28"/>
        </w:rPr>
        <w:t>，2023年</w:t>
      </w:r>
      <w:r>
        <w:rPr>
          <w:rFonts w:hint="eastAsia" w:ascii="仿宋" w:hAnsi="仿宋" w:eastAsia="仿宋" w:cs="仿宋"/>
          <w:sz w:val="28"/>
          <w:szCs w:val="28"/>
          <w:lang w:val="en-US" w:eastAsia="zh-CN"/>
        </w:rPr>
        <w:t>6</w:t>
      </w:r>
      <w:r>
        <w:rPr>
          <w:rFonts w:ascii="仿宋" w:hAnsi="仿宋" w:eastAsia="仿宋" w:cs="仿宋"/>
          <w:sz w:val="28"/>
          <w:szCs w:val="28"/>
        </w:rPr>
        <w:t>月申请专利数量较多，总体趋势见图1。</w:t>
      </w:r>
    </w:p>
    <w:p>
      <w:pPr>
        <w:spacing w:line="48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河北科技师范学院2023年第二季度专利情况统计表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2023年4月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4</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2023年5月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10</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2023年6月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13</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Style w:val="21"/>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27</w:t>
            </w:r>
          </w:p>
        </w:tc>
      </w:tr>
    </w:tbl>
    <w:p>
      <w:pPr>
        <w:tabs>
          <w:tab w:val="left" w:pos="312"/>
        </w:tabs>
        <w:rPr>
          <w:rFonts w:hint="default" w:ascii="仿宋" w:hAnsi="仿宋" w:eastAsia="仿宋" w:cs="仿宋"/>
          <w:b/>
          <w:bCs/>
          <w:sz w:val="24"/>
        </w:rPr>
      </w:pPr>
    </w:p>
    <w:p>
      <w:pPr>
        <w:tabs>
          <w:tab w:val="left" w:pos="312"/>
        </w:tabs>
        <w:jc w:val="center"/>
        <w:rPr>
          <w:rFonts w:hint="default" w:ascii="仿宋" w:hAnsi="仿宋" w:eastAsia="仿宋" w:cs="仿宋"/>
          <w:b/>
          <w:bCs/>
          <w:sz w:val="24"/>
        </w:rPr>
      </w:pPr>
    </w:p>
    <w:p>
      <w:pPr>
        <w:tabs>
          <w:tab w:val="left" w:pos="312"/>
        </w:tabs>
        <w:jc w:val="center"/>
        <w:rPr>
          <w:rFonts w:hint="default"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河北科技师范学院2023年第二季度专利总体趋势</w:t>
      </w:r>
    </w:p>
    <w:p>
      <w:pPr>
        <w:tabs>
          <w:tab w:val="left" w:pos="312"/>
        </w:tabs>
        <w:jc w:val="center"/>
        <w:rPr>
          <w:rFonts w:hint="default" w:ascii="仿宋" w:hAnsi="仿宋" w:eastAsia="仿宋" w:cs="仿宋"/>
          <w:b/>
          <w:bCs/>
          <w:color w:val="000000"/>
          <w:sz w:val="24"/>
          <w:lang w:bidi="ar"/>
        </w:rPr>
      </w:pPr>
    </w:p>
    <w:p>
      <w:pPr>
        <w:tabs>
          <w:tab w:val="left" w:pos="312"/>
        </w:tabs>
        <w:jc w:val="center"/>
        <w:rPr>
          <w:rFonts w:hint="default" w:ascii="黑体" w:hAnsi="黑体" w:eastAsia="黑体" w:cs="黑体"/>
          <w:b/>
          <w:bCs/>
          <w:sz w:val="32"/>
          <w:szCs w:val="32"/>
        </w:rPr>
      </w:pPr>
      <w:r>
        <w:drawing>
          <wp:inline distT="0" distB="0" distL="114300" distR="114300">
            <wp:extent cx="4572000" cy="2743200"/>
            <wp:effectExtent l="4445" t="4445" r="14605" b="14605"/>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t xml:space="preserve"> </w:t>
      </w:r>
      <w:bookmarkStart w:id="28" w:name="_Toc6255"/>
    </w:p>
    <w:p>
      <w:pPr>
        <w:outlineLvl w:val="0"/>
        <w:rPr>
          <w:rFonts w:hint="default" w:ascii="黑体" w:hAnsi="黑体" w:eastAsia="黑体" w:cs="黑体"/>
          <w:b/>
          <w:bCs/>
          <w:sz w:val="32"/>
          <w:szCs w:val="32"/>
        </w:rPr>
      </w:pPr>
      <w:r>
        <w:rPr>
          <w:rFonts w:ascii="黑体" w:hAnsi="黑体" w:eastAsia="黑体" w:cs="黑体"/>
          <w:b/>
          <w:bCs/>
          <w:sz w:val="32"/>
          <w:szCs w:val="32"/>
        </w:rPr>
        <w:t>2.专利类别分析</w:t>
      </w:r>
      <w:bookmarkEnd w:id="28"/>
    </w:p>
    <w:p>
      <w:pPr>
        <w:ind w:firstLine="560" w:firstLineChars="200"/>
        <w:rPr>
          <w:rFonts w:hint="default" w:ascii="仿宋" w:hAnsi="仿宋" w:eastAsia="仿宋" w:cs="仿宋"/>
          <w:sz w:val="28"/>
          <w:szCs w:val="28"/>
        </w:rPr>
      </w:pPr>
      <w:r>
        <w:rPr>
          <w:rFonts w:ascii="仿宋" w:hAnsi="仿宋" w:eastAsia="仿宋" w:cs="仿宋"/>
          <w:sz w:val="28"/>
          <w:szCs w:val="28"/>
        </w:rPr>
        <w:t>综合分析2023年第二季度我校公布公告的专利类别，发明公开专利1</w:t>
      </w:r>
      <w:r>
        <w:rPr>
          <w:rFonts w:hint="eastAsia" w:ascii="仿宋" w:hAnsi="仿宋" w:eastAsia="仿宋" w:cs="仿宋"/>
          <w:sz w:val="28"/>
          <w:szCs w:val="28"/>
          <w:lang w:val="en-US" w:eastAsia="zh-CN"/>
        </w:rPr>
        <w:t>4</w:t>
      </w:r>
      <w:r>
        <w:rPr>
          <w:rFonts w:ascii="仿宋" w:hAnsi="仿宋" w:eastAsia="仿宋" w:cs="仿宋"/>
          <w:sz w:val="28"/>
          <w:szCs w:val="28"/>
        </w:rPr>
        <w:t>件，发明授权专利1</w:t>
      </w:r>
      <w:r>
        <w:rPr>
          <w:rFonts w:hint="eastAsia" w:ascii="仿宋" w:hAnsi="仿宋" w:eastAsia="仿宋" w:cs="仿宋"/>
          <w:sz w:val="28"/>
          <w:szCs w:val="28"/>
          <w:lang w:val="en-US" w:eastAsia="zh-CN"/>
        </w:rPr>
        <w:t>1</w:t>
      </w:r>
      <w:r>
        <w:rPr>
          <w:rFonts w:ascii="仿宋" w:hAnsi="仿宋" w:eastAsia="仿宋" w:cs="仿宋"/>
          <w:sz w:val="28"/>
          <w:szCs w:val="28"/>
        </w:rPr>
        <w:t>件，实用新型专利</w:t>
      </w:r>
      <w:r>
        <w:rPr>
          <w:rFonts w:hint="eastAsia" w:ascii="仿宋" w:hAnsi="仿宋" w:eastAsia="仿宋" w:cs="仿宋"/>
          <w:sz w:val="28"/>
          <w:szCs w:val="28"/>
          <w:lang w:val="en-US" w:eastAsia="zh-CN"/>
        </w:rPr>
        <w:t>2</w:t>
      </w:r>
      <w:r>
        <w:rPr>
          <w:rFonts w:ascii="仿宋" w:hAnsi="仿宋" w:eastAsia="仿宋" w:cs="仿宋"/>
          <w:sz w:val="28"/>
          <w:szCs w:val="28"/>
        </w:rPr>
        <w:t>件。我校2023年第二季度专利类别主要集中在发明专利上，占比</w:t>
      </w:r>
      <w:r>
        <w:rPr>
          <w:rFonts w:hint="eastAsia" w:ascii="仿宋" w:hAnsi="仿宋" w:eastAsia="仿宋" w:cs="仿宋"/>
          <w:sz w:val="28"/>
          <w:szCs w:val="28"/>
          <w:lang w:val="en-US" w:eastAsia="zh-CN"/>
        </w:rPr>
        <w:t>51</w:t>
      </w:r>
      <w:r>
        <w:rPr>
          <w:rFonts w:ascii="仿宋" w:hAnsi="仿宋" w:eastAsia="仿宋" w:cs="仿宋"/>
          <w:sz w:val="28"/>
          <w:szCs w:val="28"/>
        </w:rPr>
        <w:t>.</w:t>
      </w:r>
      <w:r>
        <w:rPr>
          <w:rFonts w:hint="eastAsia" w:ascii="仿宋" w:hAnsi="仿宋" w:eastAsia="仿宋" w:cs="仿宋"/>
          <w:sz w:val="28"/>
          <w:szCs w:val="28"/>
          <w:lang w:val="en-US" w:eastAsia="zh-CN"/>
        </w:rPr>
        <w:t>85</w:t>
      </w:r>
      <w:r>
        <w:rPr>
          <w:rFonts w:ascii="仿宋" w:hAnsi="仿宋" w:eastAsia="仿宋" w:cs="仿宋"/>
          <w:sz w:val="28"/>
          <w:szCs w:val="28"/>
        </w:rPr>
        <w:t>%，说明我校专利创新水平较高，研发能力也比较强，具体情况参见图2。</w:t>
      </w:r>
    </w:p>
    <w:p>
      <w:pPr>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河北科技师范学院2023年第二季度专利类别分布</w:t>
      </w:r>
    </w:p>
    <w:p>
      <w:pPr>
        <w:ind w:firstLine="482" w:firstLineChars="200"/>
        <w:jc w:val="center"/>
        <w:rPr>
          <w:rFonts w:hint="default" w:ascii="仿宋" w:hAnsi="仿宋" w:eastAsia="仿宋" w:cs="仿宋"/>
          <w:b/>
          <w:bCs/>
          <w:color w:val="000000"/>
          <w:sz w:val="24"/>
          <w:lang w:bidi="ar"/>
        </w:rPr>
      </w:pPr>
    </w:p>
    <w:p>
      <w:pPr>
        <w:ind w:firstLine="420" w:firstLineChars="200"/>
        <w:jc w:val="center"/>
        <w:rPr>
          <w:rFonts w:hint="default" w:ascii="仿宋" w:hAnsi="仿宋" w:eastAsia="仿宋" w:cs="仿宋"/>
          <w:b/>
          <w:bCs/>
          <w:color w:val="000000"/>
          <w:sz w:val="24"/>
          <w:lang w:bidi="ar"/>
        </w:rPr>
      </w:pPr>
      <w:r>
        <w:drawing>
          <wp:inline distT="0" distB="0" distL="114300" distR="114300">
            <wp:extent cx="4572000" cy="2743200"/>
            <wp:effectExtent l="4445" t="4445" r="14605" b="14605"/>
            <wp:docPr id="1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outlineLvl w:val="0"/>
        <w:rPr>
          <w:rFonts w:hint="default" w:ascii="黑体" w:hAnsi="黑体" w:eastAsia="黑体" w:cs="黑体"/>
          <w:b/>
          <w:bCs/>
          <w:sz w:val="32"/>
          <w:szCs w:val="32"/>
        </w:rPr>
      </w:pPr>
      <w:bookmarkStart w:id="29" w:name="_Toc12539"/>
    </w:p>
    <w:p>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pPr>
        <w:ind w:firstLine="560" w:firstLineChars="200"/>
        <w:rPr>
          <w:rFonts w:hint="default" w:ascii="仿宋" w:hAnsi="仿宋" w:eastAsia="仿宋" w:cs="仿宋"/>
          <w:b/>
          <w:bCs/>
          <w:sz w:val="24"/>
        </w:rPr>
      </w:pPr>
      <w:r>
        <w:rPr>
          <w:rFonts w:ascii="仿宋" w:hAnsi="仿宋" w:eastAsia="仿宋" w:cs="仿宋"/>
          <w:sz w:val="28"/>
          <w:szCs w:val="28"/>
        </w:rPr>
        <w:t>综合分析2023年第二季度我校公布公告的专利学科关系，占比较多的学科有：</w:t>
      </w:r>
      <w:r>
        <w:rPr>
          <w:rFonts w:hint="eastAsia" w:ascii="仿宋" w:hAnsi="仿宋" w:eastAsia="仿宋" w:cs="仿宋"/>
          <w:sz w:val="28"/>
          <w:szCs w:val="28"/>
          <w:lang w:val="en-US" w:eastAsia="zh-CN"/>
        </w:rPr>
        <w:t>计算机软件及计算机技术3件，有机化学材料科学、</w:t>
      </w:r>
      <w:r>
        <w:rPr>
          <w:rFonts w:ascii="仿宋" w:hAnsi="仿宋" w:eastAsia="仿宋" w:cs="仿宋"/>
          <w:sz w:val="28"/>
          <w:szCs w:val="28"/>
        </w:rPr>
        <w:t>轻工业手工业</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无机化学、</w:t>
      </w:r>
      <w:r>
        <w:rPr>
          <w:rFonts w:ascii="仿宋" w:hAnsi="仿宋" w:eastAsia="仿宋" w:cs="仿宋"/>
          <w:sz w:val="28"/>
          <w:szCs w:val="28"/>
        </w:rPr>
        <w:t>化学</w:t>
      </w:r>
      <w:r>
        <w:rPr>
          <w:rFonts w:hint="eastAsia" w:ascii="仿宋" w:hAnsi="仿宋" w:eastAsia="仿宋" w:cs="仿宋"/>
          <w:sz w:val="28"/>
          <w:szCs w:val="28"/>
          <w:lang w:val="en-US" w:eastAsia="zh-CN"/>
        </w:rPr>
        <w:t>2</w:t>
      </w:r>
      <w:r>
        <w:rPr>
          <w:rFonts w:ascii="仿宋" w:hAnsi="仿宋" w:eastAsia="仿宋" w:cs="仿宋"/>
          <w:sz w:val="28"/>
          <w:szCs w:val="28"/>
        </w:rPr>
        <w:t>件，具体详情参见图3。</w:t>
      </w: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rPr>
          <w:rFonts w:hint="default" w:ascii="仿宋" w:hAnsi="仿宋" w:eastAsia="仿宋" w:cs="仿宋"/>
          <w:b/>
          <w:bCs/>
          <w:sz w:val="24"/>
        </w:rPr>
      </w:pPr>
    </w:p>
    <w:p>
      <w:pPr>
        <w:ind w:firstLine="1205" w:firstLineChars="500"/>
        <w:rPr>
          <w:rFonts w:ascii="仿宋" w:hAnsi="仿宋" w:eastAsia="仿宋" w:cs="仿宋"/>
          <w:b/>
          <w:bCs/>
          <w:sz w:val="24"/>
        </w:rPr>
      </w:pPr>
    </w:p>
    <w:p>
      <w:pPr>
        <w:ind w:firstLine="1205" w:firstLineChars="500"/>
        <w:rPr>
          <w:rFonts w:ascii="仿宋" w:hAnsi="仿宋" w:eastAsia="仿宋" w:cs="仿宋"/>
          <w:b/>
          <w:bCs/>
          <w:sz w:val="24"/>
        </w:rPr>
      </w:pPr>
    </w:p>
    <w:p>
      <w:pPr>
        <w:ind w:firstLine="1205" w:firstLineChars="500"/>
        <w:rPr>
          <w:rFonts w:ascii="仿宋" w:hAnsi="仿宋" w:eastAsia="仿宋" w:cs="仿宋"/>
          <w:b/>
          <w:bCs/>
          <w:sz w:val="24"/>
        </w:rPr>
      </w:pPr>
    </w:p>
    <w:p>
      <w:pPr>
        <w:ind w:firstLine="1205" w:firstLineChars="500"/>
        <w:rPr>
          <w:rFonts w:ascii="仿宋" w:hAnsi="仿宋" w:eastAsia="仿宋" w:cs="仿宋"/>
          <w:b/>
          <w:bCs/>
          <w:sz w:val="24"/>
        </w:rPr>
      </w:pPr>
    </w:p>
    <w:p>
      <w:pPr>
        <w:ind w:firstLine="1205" w:firstLineChars="500"/>
        <w:rPr>
          <w:rFonts w:hint="default" w:ascii="仿宋" w:hAnsi="仿宋" w:eastAsia="仿宋" w:cs="仿宋"/>
          <w:b/>
          <w:bCs/>
          <w:color w:val="000000"/>
          <w:sz w:val="24"/>
          <w:lang w:bidi="ar"/>
        </w:rPr>
      </w:pPr>
      <w:r>
        <w:rPr>
          <w:rFonts w:ascii="仿宋" w:hAnsi="仿宋" w:eastAsia="仿宋" w:cs="仿宋"/>
          <w:b/>
          <w:bCs/>
          <w:sz w:val="24"/>
        </w:rPr>
        <w:t>图3</w:t>
      </w:r>
      <w:r>
        <w:rPr>
          <w:rFonts w:ascii="仿宋" w:hAnsi="仿宋" w:eastAsia="仿宋" w:cs="仿宋"/>
          <w:b/>
          <w:bCs/>
          <w:color w:val="000000"/>
          <w:sz w:val="24"/>
          <w:lang w:bidi="ar"/>
        </w:rPr>
        <w:t>河北科技师范学院2023年第二季度专利学科分布</w:t>
      </w:r>
    </w:p>
    <w:p>
      <w:pPr>
        <w:jc w:val="center"/>
        <w:rPr>
          <w:rFonts w:hint="default" w:ascii="仿宋" w:hAnsi="仿宋" w:eastAsia="仿宋" w:cs="仿宋"/>
          <w:b/>
          <w:bCs/>
          <w:color w:val="000000"/>
          <w:sz w:val="24"/>
          <w:lang w:bidi="ar"/>
        </w:rPr>
      </w:pPr>
    </w:p>
    <w:p>
      <w:pPr>
        <w:jc w:val="center"/>
        <w:rPr>
          <w:rFonts w:hint="default"/>
        </w:rPr>
      </w:pPr>
      <w:bookmarkStart w:id="30" w:name="_Toc18240"/>
      <w:r>
        <w:drawing>
          <wp:inline distT="0" distB="0" distL="114300" distR="114300">
            <wp:extent cx="4572000" cy="2743200"/>
            <wp:effectExtent l="4445" t="4445" r="14605" b="14605"/>
            <wp:docPr id="1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jc w:val="center"/>
        <w:rPr>
          <w:rFonts w:hint="default"/>
        </w:rPr>
      </w:pPr>
    </w:p>
    <w:p>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pPr>
        <w:ind w:firstLine="560" w:firstLineChars="200"/>
        <w:rPr>
          <w:rFonts w:hint="default" w:ascii="仿宋" w:hAnsi="仿宋" w:eastAsia="仿宋" w:cs="仿宋"/>
          <w:b/>
          <w:bCs/>
          <w:sz w:val="24"/>
        </w:rPr>
      </w:pPr>
      <w:r>
        <w:rPr>
          <w:rFonts w:ascii="仿宋" w:hAnsi="仿宋" w:eastAsia="仿宋" w:cs="仿宋"/>
          <w:sz w:val="28"/>
          <w:szCs w:val="28"/>
        </w:rPr>
        <w:t>综合分析2023年第二季度我校公布公告的专利主题词，主要主题词中制备方法、</w:t>
      </w:r>
      <w:r>
        <w:rPr>
          <w:rFonts w:hint="eastAsia" w:ascii="仿宋" w:hAnsi="仿宋" w:eastAsia="仿宋" w:cs="仿宋"/>
          <w:sz w:val="28"/>
          <w:szCs w:val="28"/>
          <w:lang w:val="en-US" w:eastAsia="zh-CN"/>
        </w:rPr>
        <w:t>防泄密</w:t>
      </w:r>
      <w:r>
        <w:rPr>
          <w:rFonts w:ascii="仿宋" w:hAnsi="仿宋" w:eastAsia="仿宋" w:cs="仿宋"/>
          <w:sz w:val="28"/>
          <w:szCs w:val="28"/>
        </w:rPr>
        <w:t>等主题词出现频率较高。次要主题词中固定连接、</w:t>
      </w:r>
      <w:r>
        <w:rPr>
          <w:rFonts w:hint="eastAsia" w:ascii="仿宋" w:hAnsi="仿宋" w:eastAsia="仿宋" w:cs="仿宋"/>
          <w:sz w:val="28"/>
          <w:szCs w:val="28"/>
          <w:lang w:val="en-US" w:eastAsia="zh-CN"/>
        </w:rPr>
        <w:t>特征块</w:t>
      </w:r>
      <w:r>
        <w:rPr>
          <w:rFonts w:ascii="仿宋" w:hAnsi="仿宋" w:eastAsia="仿宋" w:cs="仿宋"/>
          <w:sz w:val="28"/>
          <w:szCs w:val="28"/>
        </w:rPr>
        <w:t>、</w:t>
      </w:r>
      <w:r>
        <w:rPr>
          <w:rFonts w:hint="eastAsia" w:ascii="仿宋" w:hAnsi="仿宋" w:eastAsia="仿宋" w:cs="仿宋"/>
          <w:sz w:val="28"/>
          <w:szCs w:val="28"/>
          <w:lang w:val="en-US" w:eastAsia="zh-CN"/>
        </w:rPr>
        <w:t>偏移量</w:t>
      </w:r>
      <w:r>
        <w:rPr>
          <w:rFonts w:ascii="仿宋" w:hAnsi="仿宋" w:eastAsia="仿宋" w:cs="仿宋"/>
          <w:sz w:val="28"/>
          <w:szCs w:val="28"/>
        </w:rPr>
        <w:t>等主题词出现频率较高。下图列举频次较高的主要主题词和次要主题词，具体分布参见图4和图5。</w:t>
      </w:r>
    </w:p>
    <w:p>
      <w:pPr>
        <w:spacing w:line="360" w:lineRule="auto"/>
        <w:jc w:val="center"/>
        <w:rPr>
          <w:rFonts w:hint="default"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河北科技师范学院2023年第二季度主要主题词分布</w:t>
      </w:r>
    </w:p>
    <w:p>
      <w:pPr>
        <w:spacing w:line="360" w:lineRule="auto"/>
        <w:jc w:val="center"/>
        <w:rPr>
          <w:rFonts w:hint="default" w:ascii="仿宋" w:hAnsi="仿宋" w:eastAsia="仿宋" w:cs="仿宋"/>
          <w:b/>
          <w:bCs/>
          <w:color w:val="000000"/>
          <w:sz w:val="24"/>
          <w:lang w:bidi="ar"/>
        </w:rPr>
      </w:pPr>
    </w:p>
    <w:p>
      <w:pPr>
        <w:spacing w:line="360" w:lineRule="auto"/>
        <w:jc w:val="center"/>
        <w:rPr>
          <w:rFonts w:hint="default" w:ascii="仿宋" w:hAnsi="仿宋" w:eastAsia="仿宋" w:cs="仿宋"/>
          <w:b/>
          <w:bCs/>
          <w:sz w:val="24"/>
        </w:rPr>
      </w:pPr>
      <w:r>
        <w:drawing>
          <wp:inline distT="0" distB="0" distL="114300" distR="114300">
            <wp:extent cx="4572000" cy="2743200"/>
            <wp:effectExtent l="4445" t="4445" r="14605" b="14605"/>
            <wp:docPr id="1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jc w:val="center"/>
        <w:rPr>
          <w:rFonts w:hint="default" w:ascii="仿宋" w:hAnsi="仿宋" w:eastAsia="仿宋" w:cs="仿宋"/>
          <w:b/>
          <w:bCs/>
          <w:sz w:val="24"/>
        </w:rPr>
      </w:pPr>
    </w:p>
    <w:p>
      <w:pPr>
        <w:jc w:val="center"/>
        <w:rPr>
          <w:rFonts w:hint="default" w:ascii="仿宋" w:hAnsi="仿宋" w:eastAsia="仿宋" w:cs="仿宋"/>
          <w:b/>
          <w:bCs/>
          <w:color w:val="000000"/>
          <w:sz w:val="24"/>
          <w:lang w:bidi="ar"/>
        </w:rPr>
      </w:pPr>
      <w:r>
        <w:rPr>
          <w:rFonts w:ascii="仿宋" w:hAnsi="仿宋" w:eastAsia="仿宋" w:cs="仿宋"/>
          <w:b/>
          <w:bCs/>
          <w:sz w:val="24"/>
        </w:rPr>
        <w:t>图5</w:t>
      </w:r>
      <w:r>
        <w:rPr>
          <w:rFonts w:ascii="仿宋" w:hAnsi="仿宋" w:eastAsia="仿宋" w:cs="仿宋"/>
          <w:b/>
          <w:bCs/>
          <w:color w:val="000000"/>
          <w:sz w:val="24"/>
          <w:lang w:bidi="ar"/>
        </w:rPr>
        <w:t>河北科技师范学院2023年第二季度次要主题词分布</w:t>
      </w:r>
    </w:p>
    <w:p>
      <w:pPr>
        <w:jc w:val="center"/>
        <w:rPr>
          <w:rFonts w:hint="default" w:ascii="仿宋" w:hAnsi="仿宋" w:eastAsia="仿宋" w:cs="仿宋"/>
          <w:b/>
          <w:bCs/>
          <w:color w:val="000000"/>
          <w:sz w:val="24"/>
          <w:lang w:bidi="ar"/>
        </w:rPr>
      </w:pPr>
    </w:p>
    <w:p>
      <w:pPr>
        <w:jc w:val="center"/>
        <w:rPr>
          <w:rFonts w:hint="default"/>
        </w:rPr>
      </w:pPr>
      <w:r>
        <w:drawing>
          <wp:inline distT="0" distB="0" distL="114300" distR="114300">
            <wp:extent cx="4572000" cy="2743200"/>
            <wp:effectExtent l="4445" t="4445" r="14605" b="14605"/>
            <wp:docPr id="14"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jc w:val="center"/>
        <w:rPr>
          <w:rFonts w:hint="default" w:ascii="仿宋" w:hAnsi="仿宋" w:eastAsia="仿宋" w:cs="仿宋"/>
          <w:b/>
          <w:bCs/>
          <w:color w:val="000000"/>
          <w:sz w:val="24"/>
          <w:lang w:bidi="ar"/>
        </w:rPr>
      </w:pPr>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pPr>
        <w:adjustRightInd/>
        <w:spacing w:line="240" w:lineRule="atLeast"/>
        <w:ind w:firstLine="560" w:firstLineChars="200"/>
        <w:rPr>
          <w:rFonts w:hint="default" w:ascii="仿宋" w:hAnsi="仿宋" w:eastAsia="仿宋" w:cs="仿宋"/>
          <w:sz w:val="28"/>
          <w:szCs w:val="28"/>
        </w:rPr>
      </w:pPr>
      <w:r>
        <w:rPr>
          <w:rFonts w:ascii="仿宋" w:hAnsi="仿宋" w:eastAsia="仿宋" w:cs="仿宋"/>
          <w:sz w:val="28"/>
          <w:szCs w:val="28"/>
        </w:rPr>
        <w:t>综合分析2023年第二季度我校公布公告的专利发明人，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14</w:t>
      </w:r>
      <w:r>
        <w:rPr>
          <w:rFonts w:hint="default" w:ascii="仿宋" w:hAnsi="仿宋" w:eastAsia="仿宋" w:cs="仿宋"/>
          <w:sz w:val="28"/>
          <w:szCs w:val="28"/>
        </w:rPr>
        <w:t>人</w:t>
      </w:r>
      <w:r>
        <w:rPr>
          <w:rFonts w:ascii="仿宋" w:hAnsi="仿宋" w:eastAsia="仿宋" w:cs="仿宋"/>
          <w:sz w:val="28"/>
          <w:szCs w:val="28"/>
        </w:rPr>
        <w:t>，具体情况参见表2。</w:t>
      </w:r>
    </w:p>
    <w:p>
      <w:pPr>
        <w:adjustRightInd/>
        <w:spacing w:line="240" w:lineRule="atLeast"/>
        <w:jc w:val="center"/>
        <w:rPr>
          <w:rFonts w:hint="default" w:ascii="仿宋" w:hAnsi="仿宋" w:eastAsia="仿宋" w:cs="仿宋"/>
          <w:b/>
          <w:bCs/>
          <w:sz w:val="24"/>
        </w:rPr>
      </w:pPr>
    </w:p>
    <w:p>
      <w:pPr>
        <w:adjustRightInd/>
        <w:spacing w:line="240" w:lineRule="atLeast"/>
        <w:jc w:val="center"/>
        <w:rPr>
          <w:rFonts w:hint="default" w:ascii="仿宋" w:hAnsi="仿宋" w:eastAsia="仿宋" w:cs="仿宋"/>
          <w:b/>
          <w:bCs/>
          <w:sz w:val="24"/>
        </w:rPr>
      </w:pPr>
    </w:p>
    <w:p>
      <w:pPr>
        <w:adjustRightInd/>
        <w:spacing w:line="240" w:lineRule="atLeast"/>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河北科技师范学院2023年第二季度专利发明人统计表</w:t>
      </w:r>
    </w:p>
    <w:p>
      <w:pPr>
        <w:adjustRightInd/>
        <w:spacing w:line="240" w:lineRule="atLeast"/>
        <w:ind w:firstLine="482" w:firstLineChars="200"/>
        <w:jc w:val="center"/>
        <w:rPr>
          <w:rFonts w:hint="default" w:ascii="仿宋" w:hAnsi="仿宋" w:eastAsia="仿宋" w:cs="仿宋"/>
          <w:b/>
          <w:bCs/>
          <w:color w:val="000000"/>
          <w:sz w:val="24"/>
          <w:lang w:bidi="ar"/>
        </w:rPr>
      </w:pP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陈立东</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齐慧霞</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陈海芹</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宋爱君</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冯利臻</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王健</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李国昉</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1</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温晓蕾</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李双民</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杨晓宽</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刘佳</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3</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张志伟</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鲁勖琳</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ascii="仿宋" w:hAnsi="仿宋" w:eastAsia="仿宋" w:cs="仿宋"/>
                <w:color w:val="000000"/>
                <w:sz w:val="24"/>
                <w:lang w:bidi="ar"/>
              </w:rPr>
              <w:t>1</w:t>
            </w:r>
            <w:r>
              <w:rPr>
                <w:rFonts w:hint="eastAsia" w:ascii="仿宋" w:hAnsi="仿宋" w:eastAsia="仿宋" w:cs="仿宋"/>
                <w:color w:val="000000"/>
                <w:sz w:val="24"/>
                <w:lang w:val="en-US" w:eastAsia="zh-CN" w:bidi="ar"/>
              </w:rPr>
              <w:t>4</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邹萍</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bl>
    <w:p>
      <w:pPr>
        <w:pStyle w:val="14"/>
        <w:spacing w:before="156" w:beforeLines="50" w:after="156" w:afterLines="50" w:line="432" w:lineRule="auto"/>
        <w:ind w:firstLine="0" w:firstLineChars="0"/>
        <w:outlineLvl w:val="0"/>
        <w:rPr>
          <w:rFonts w:hint="default" w:ascii="黑体" w:hAnsi="黑体" w:eastAsia="黑体" w:cs="黑体"/>
          <w:b/>
          <w:bCs/>
          <w:kern w:val="2"/>
          <w:sz w:val="32"/>
          <w:szCs w:val="32"/>
        </w:rPr>
      </w:pPr>
      <w:bookmarkStart w:id="32" w:name="_Toc20469"/>
      <w:bookmarkStart w:id="33" w:name="_Toc16727"/>
      <w:bookmarkStart w:id="34" w:name="_Toc6690"/>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pPr>
        <w:pStyle w:val="7"/>
        <w:spacing w:before="0" w:beforeAutospacing="0" w:after="0" w:afterAutospacing="0" w:line="285" w:lineRule="atLeast"/>
        <w:ind w:firstLine="560" w:firstLineChars="200"/>
        <w:rPr>
          <w:rFonts w:hint="default" w:ascii="仿宋" w:hAnsi="仿宋" w:eastAsia="仿宋"/>
          <w:b/>
          <w:sz w:val="24"/>
        </w:rPr>
      </w:pPr>
      <w:r>
        <w:rPr>
          <w:rFonts w:ascii="仿宋" w:hAnsi="仿宋" w:eastAsia="仿宋" w:cs="仿宋"/>
          <w:sz w:val="28"/>
          <w:szCs w:val="28"/>
        </w:rPr>
        <w:t>综合分析2023年第二季度我校公布公告的专利，其</w:t>
      </w:r>
      <w:r>
        <w:rPr>
          <w:rFonts w:ascii="仿宋" w:hAnsi="仿宋" w:eastAsia="仿宋"/>
          <w:color w:val="000000"/>
          <w:sz w:val="28"/>
        </w:rPr>
        <w:t>主要集中在IPC分类中的下面几个大类：</w:t>
      </w:r>
      <w:r>
        <w:rPr>
          <w:rFonts w:ascii="仿宋" w:hAnsi="仿宋" w:eastAsia="仿宋"/>
          <w:color w:val="333333"/>
          <w:sz w:val="28"/>
          <w:shd w:val="clear" w:color="auto" w:fill="FFFFFF"/>
        </w:rPr>
        <w:t>A01（农业；林业；畜牧业；狩猎；诱捕；捕鱼）、</w:t>
      </w:r>
      <w:r>
        <w:rPr>
          <w:rFonts w:hint="eastAsia" w:ascii="仿宋" w:hAnsi="仿宋" w:eastAsia="仿宋"/>
          <w:color w:val="333333"/>
          <w:sz w:val="28"/>
          <w:shd w:val="clear" w:color="auto" w:fill="FFFFFF"/>
          <w:lang w:val="en-US" w:eastAsia="zh-CN"/>
        </w:rPr>
        <w:t>B01（一般的物理或化学的方法或装置）、G06（计算；推算或计数）、A61（医学或兽医学；卫生学）、</w:t>
      </w:r>
      <w:r>
        <w:rPr>
          <w:rFonts w:ascii="仿宋" w:hAnsi="仿宋" w:eastAsia="仿宋"/>
          <w:color w:val="333333"/>
          <w:sz w:val="28"/>
          <w:shd w:val="clear" w:color="auto" w:fill="FFFFFF"/>
        </w:rPr>
        <w:t>G01（测量；测试）等，详情参见图6。</w:t>
      </w:r>
    </w:p>
    <w:p>
      <w:pPr>
        <w:pStyle w:val="14"/>
        <w:spacing w:line="480" w:lineRule="auto"/>
        <w:ind w:firstLine="0" w:firstLineChars="0"/>
        <w:jc w:val="center"/>
        <w:rPr>
          <w:rFonts w:hint="default" w:ascii="仿宋" w:hAnsi="仿宋" w:eastAsia="仿宋"/>
          <w:b/>
          <w:sz w:val="24"/>
        </w:rPr>
      </w:pPr>
      <w:r>
        <w:rPr>
          <w:rFonts w:ascii="仿宋" w:hAnsi="仿宋" w:eastAsia="仿宋"/>
          <w:b/>
          <w:sz w:val="24"/>
        </w:rPr>
        <w:t>图6：河北科技师范学院2023年第二季度专利技术领域与产业构成分布</w:t>
      </w:r>
    </w:p>
    <w:p>
      <w:pPr>
        <w:jc w:val="center"/>
        <w:rPr>
          <w:rFonts w:hint="default"/>
        </w:rPr>
      </w:pPr>
      <w:r>
        <w:drawing>
          <wp:inline distT="0" distB="0" distL="114300" distR="114300">
            <wp:extent cx="4572000" cy="2743200"/>
            <wp:effectExtent l="4445" t="4445" r="14605" b="1460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jc w:val="center"/>
        <w:rPr>
          <w:rFonts w:hint="default"/>
        </w:rPr>
      </w:pPr>
    </w:p>
    <w:p>
      <w:pPr>
        <w:outlineLvl w:val="0"/>
        <w:rPr>
          <w:rFonts w:hint="default" w:ascii="黑体" w:hAnsi="黑体" w:eastAsia="黑体" w:cs="黑体"/>
          <w:b/>
          <w:bCs/>
          <w:sz w:val="32"/>
          <w:szCs w:val="32"/>
        </w:rPr>
      </w:pPr>
      <w:bookmarkStart w:id="35" w:name="_Toc23978"/>
      <w:r>
        <w:rPr>
          <w:rFonts w:ascii="黑体" w:hAnsi="黑体" w:eastAsia="黑体" w:cs="黑体"/>
          <w:b/>
          <w:bCs/>
          <w:sz w:val="32"/>
          <w:szCs w:val="32"/>
        </w:rPr>
        <w:t>7.申请机构分析</w:t>
      </w:r>
      <w:bookmarkEnd w:id="35"/>
    </w:p>
    <w:p>
      <w:pPr>
        <w:ind w:firstLine="560" w:firstLineChars="200"/>
        <w:rPr>
          <w:rFonts w:hint="default" w:ascii="仿宋" w:hAnsi="仿宋" w:eastAsia="仿宋" w:cs="仿宋"/>
          <w:b/>
          <w:bCs/>
          <w:sz w:val="24"/>
        </w:rPr>
      </w:pPr>
      <w:r>
        <w:rPr>
          <w:rFonts w:ascii="仿宋" w:hAnsi="仿宋" w:eastAsia="仿宋" w:cs="仿宋"/>
          <w:sz w:val="28"/>
          <w:szCs w:val="28"/>
        </w:rPr>
        <w:t>综合分析2023年第二季度我校公布公告的专利申请机构，河北科技师范学院申请专利</w:t>
      </w:r>
      <w:r>
        <w:rPr>
          <w:rFonts w:hint="eastAsia" w:ascii="仿宋" w:hAnsi="仿宋" w:eastAsia="仿宋" w:cs="仿宋"/>
          <w:sz w:val="28"/>
          <w:szCs w:val="28"/>
          <w:lang w:val="en-US" w:eastAsia="zh-CN"/>
        </w:rPr>
        <w:t>21</w:t>
      </w:r>
      <w:r>
        <w:rPr>
          <w:rFonts w:ascii="仿宋" w:hAnsi="仿宋" w:eastAsia="仿宋" w:cs="仿宋"/>
          <w:sz w:val="28"/>
          <w:szCs w:val="28"/>
        </w:rPr>
        <w:t>件，占比</w:t>
      </w:r>
      <w:r>
        <w:rPr>
          <w:rFonts w:hint="eastAsia" w:ascii="仿宋" w:hAnsi="仿宋" w:eastAsia="仿宋" w:cs="仿宋"/>
          <w:sz w:val="28"/>
          <w:szCs w:val="28"/>
          <w:lang w:val="en-US" w:eastAsia="zh-CN"/>
        </w:rPr>
        <w:t>7</w:t>
      </w:r>
      <w:r>
        <w:rPr>
          <w:rFonts w:ascii="仿宋" w:hAnsi="仿宋" w:eastAsia="仿宋" w:cs="仿宋"/>
          <w:sz w:val="28"/>
          <w:szCs w:val="28"/>
        </w:rPr>
        <w:t>7.</w:t>
      </w:r>
      <w:r>
        <w:rPr>
          <w:rFonts w:hint="eastAsia" w:ascii="仿宋" w:hAnsi="仿宋" w:eastAsia="仿宋" w:cs="仿宋"/>
          <w:sz w:val="28"/>
          <w:szCs w:val="28"/>
          <w:lang w:val="en-US" w:eastAsia="zh-CN"/>
        </w:rPr>
        <w:t>78</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6</w:t>
      </w:r>
      <w:r>
        <w:rPr>
          <w:rFonts w:ascii="仿宋" w:hAnsi="仿宋" w:eastAsia="仿宋" w:cs="仿宋"/>
          <w:sz w:val="28"/>
          <w:szCs w:val="28"/>
        </w:rPr>
        <w:t>件，占比2</w:t>
      </w:r>
      <w:r>
        <w:rPr>
          <w:rFonts w:hint="eastAsia" w:ascii="仿宋" w:hAnsi="仿宋" w:eastAsia="仿宋" w:cs="仿宋"/>
          <w:sz w:val="28"/>
          <w:szCs w:val="28"/>
          <w:lang w:val="en-US" w:eastAsia="zh-CN"/>
        </w:rPr>
        <w:t>2</w:t>
      </w:r>
      <w:r>
        <w:rPr>
          <w:rFonts w:ascii="仿宋" w:hAnsi="仿宋" w:eastAsia="仿宋" w:cs="仿宋"/>
          <w:sz w:val="28"/>
          <w:szCs w:val="28"/>
        </w:rPr>
        <w:t>.</w:t>
      </w:r>
      <w:r>
        <w:rPr>
          <w:rFonts w:hint="eastAsia" w:ascii="仿宋" w:hAnsi="仿宋" w:eastAsia="仿宋" w:cs="仿宋"/>
          <w:sz w:val="28"/>
          <w:szCs w:val="28"/>
          <w:lang w:val="en-US" w:eastAsia="zh-CN"/>
        </w:rPr>
        <w:t>2</w:t>
      </w:r>
      <w:r>
        <w:rPr>
          <w:rFonts w:ascii="仿宋" w:hAnsi="仿宋" w:eastAsia="仿宋" w:cs="仿宋"/>
          <w:sz w:val="28"/>
          <w:szCs w:val="28"/>
        </w:rPr>
        <w:t>3%；具体分布参见图7。</w:t>
      </w:r>
    </w:p>
    <w:p>
      <w:pPr>
        <w:spacing w:line="360" w:lineRule="auto"/>
        <w:rPr>
          <w:rFonts w:hint="default"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hint="default"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河北科技师范学院2023年第二季度专利申请机构分布</w:t>
      </w:r>
    </w:p>
    <w:p>
      <w:pPr>
        <w:spacing w:line="360" w:lineRule="auto"/>
        <w:jc w:val="center"/>
        <w:rPr>
          <w:rFonts w:hint="default" w:ascii="仿宋" w:hAnsi="仿宋" w:eastAsia="仿宋" w:cs="仿宋"/>
          <w:b/>
          <w:bCs/>
          <w:color w:val="000000"/>
          <w:sz w:val="24"/>
          <w:lang w:bidi="ar"/>
        </w:rPr>
      </w:pPr>
      <w:r>
        <w:drawing>
          <wp:inline distT="0" distB="0" distL="114300" distR="114300">
            <wp:extent cx="4572000" cy="2743200"/>
            <wp:effectExtent l="4445" t="4445" r="14605" b="14605"/>
            <wp:docPr id="1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jc w:val="center"/>
        <w:rPr>
          <w:rFonts w:hint="default" w:ascii="仿宋" w:hAnsi="仿宋" w:eastAsia="仿宋" w:cs="仿宋"/>
          <w:b/>
          <w:bCs/>
          <w:color w:val="000000"/>
          <w:sz w:val="24"/>
          <w:lang w:bidi="ar"/>
        </w:rPr>
      </w:pPr>
    </w:p>
    <w:p>
      <w:pPr>
        <w:outlineLvl w:val="0"/>
        <w:rPr>
          <w:rFonts w:hint="default" w:ascii="黑体" w:hAnsi="黑体" w:eastAsia="黑体" w:cs="黑体"/>
          <w:b/>
          <w:bCs/>
          <w:sz w:val="32"/>
          <w:szCs w:val="32"/>
        </w:rPr>
      </w:pPr>
      <w:bookmarkStart w:id="36" w:name="_Toc29"/>
    </w:p>
    <w:p>
      <w:pPr>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综合分析2023年第二季度我校公布公告的</w:t>
      </w:r>
      <w:r>
        <w:rPr>
          <w:rFonts w:hint="eastAsia" w:ascii="仿宋" w:hAnsi="仿宋" w:eastAsia="仿宋" w:cs="仿宋"/>
          <w:sz w:val="28"/>
          <w:szCs w:val="28"/>
          <w:lang w:val="en-US" w:eastAsia="zh-CN"/>
        </w:rPr>
        <w:t>27</w:t>
      </w:r>
      <w:r>
        <w:rPr>
          <w:rFonts w:ascii="仿宋" w:hAnsi="仿宋" w:eastAsia="仿宋" w:cs="仿宋"/>
          <w:sz w:val="28"/>
          <w:szCs w:val="28"/>
        </w:rPr>
        <w:t>件专利，代理申请机构共2</w:t>
      </w:r>
      <w:r>
        <w:rPr>
          <w:rFonts w:hint="eastAsia" w:ascii="仿宋" w:hAnsi="仿宋" w:eastAsia="仿宋" w:cs="仿宋"/>
          <w:sz w:val="28"/>
          <w:szCs w:val="28"/>
          <w:lang w:val="en-US" w:eastAsia="zh-CN"/>
        </w:rPr>
        <w:t>2</w:t>
      </w:r>
      <w:r>
        <w:rPr>
          <w:rFonts w:ascii="仿宋" w:hAnsi="仿宋" w:eastAsia="仿宋" w:cs="仿宋"/>
          <w:sz w:val="28"/>
          <w:szCs w:val="28"/>
        </w:rPr>
        <w:t>家，其中</w:t>
      </w:r>
      <w:r>
        <w:rPr>
          <w:rFonts w:hint="eastAsia" w:ascii="仿宋" w:hAnsi="仿宋" w:eastAsia="仿宋" w:cs="仿宋"/>
          <w:sz w:val="28"/>
          <w:szCs w:val="28"/>
        </w:rPr>
        <w:t>北京高沃律师事务所</w:t>
      </w:r>
      <w:r>
        <w:rPr>
          <w:rFonts w:ascii="仿宋" w:hAnsi="仿宋" w:eastAsia="仿宋" w:cs="仿宋"/>
          <w:sz w:val="28"/>
          <w:szCs w:val="28"/>
        </w:rPr>
        <w:t>、</w:t>
      </w:r>
      <w:r>
        <w:rPr>
          <w:rFonts w:hint="eastAsia" w:ascii="仿宋" w:hAnsi="仿宋" w:eastAsia="仿宋" w:cs="仿宋"/>
          <w:sz w:val="28"/>
          <w:szCs w:val="28"/>
        </w:rPr>
        <w:t>北京睿智保诚专利代理事务所</w:t>
      </w:r>
      <w:r>
        <w:rPr>
          <w:rFonts w:ascii="仿宋" w:hAnsi="仿宋" w:eastAsia="仿宋" w:cs="仿宋"/>
          <w:sz w:val="28"/>
          <w:szCs w:val="28"/>
        </w:rPr>
        <w:t>、</w:t>
      </w:r>
      <w:r>
        <w:rPr>
          <w:rFonts w:hint="eastAsia" w:ascii="仿宋" w:hAnsi="仿宋" w:eastAsia="仿宋" w:cs="仿宋"/>
          <w:sz w:val="28"/>
          <w:szCs w:val="28"/>
        </w:rPr>
        <w:t>北京壹川鸣知识产权代理事务所</w:t>
      </w:r>
      <w:bookmarkStart w:id="38" w:name="_GoBack"/>
      <w:bookmarkEnd w:id="38"/>
      <w:r>
        <w:rPr>
          <w:rFonts w:hint="eastAsia" w:ascii="仿宋" w:hAnsi="仿宋" w:eastAsia="仿宋" w:cs="仿宋"/>
          <w:sz w:val="28"/>
          <w:szCs w:val="28"/>
          <w:lang w:val="en-US" w:eastAsia="zh-CN"/>
        </w:rPr>
        <w:t>等</w:t>
      </w:r>
      <w:r>
        <w:rPr>
          <w:rFonts w:ascii="仿宋" w:hAnsi="仿宋" w:eastAsia="仿宋" w:cs="仿宋"/>
          <w:sz w:val="28"/>
          <w:szCs w:val="28"/>
        </w:rPr>
        <w:t>代理申请专利数量较多，具体代理机构分布参见表3。</w:t>
      </w:r>
    </w:p>
    <w:p>
      <w:pPr>
        <w:spacing w:line="48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河北科技师范学院2023年第二季度专利代理机构统计表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北京高沃律师事务所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北京睿智保诚专利代理事务所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北京壹川鸣知识产权代理事务所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深圳树贤专利代理事务所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5</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西安汇恩知识产权代理事务所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r>
    </w:tbl>
    <w:p>
      <w:pPr>
        <w:outlineLvl w:val="0"/>
        <w:rPr>
          <w:rFonts w:hint="default" w:ascii="黑体" w:hAnsi="黑体" w:eastAsia="黑体" w:cs="黑体"/>
          <w:b/>
          <w:bCs/>
          <w:sz w:val="32"/>
          <w:szCs w:val="32"/>
        </w:rPr>
      </w:pPr>
      <w:bookmarkStart w:id="37" w:name="_Toc17108"/>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2023年第二季度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172A27"/>
    <w:rsid w:val="00172A27"/>
    <w:rsid w:val="003C5849"/>
    <w:rsid w:val="00720899"/>
    <w:rsid w:val="007C7DCA"/>
    <w:rsid w:val="00C96041"/>
    <w:rsid w:val="0B6D1B6C"/>
    <w:rsid w:val="0CC56CA9"/>
    <w:rsid w:val="0D6D52D1"/>
    <w:rsid w:val="289B5F52"/>
    <w:rsid w:val="2F44466F"/>
    <w:rsid w:val="36755FC0"/>
    <w:rsid w:val="3B380AF6"/>
    <w:rsid w:val="456B524E"/>
    <w:rsid w:val="5BDB3ECE"/>
    <w:rsid w:val="6D77388D"/>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semiHidden/>
    <w:unhideWhenUsed/>
    <w:uiPriority w:val="1"/>
  </w:style>
  <w:style w:type="table" w:default="1" w:styleId="8">
    <w:name w:val="Normal Table"/>
    <w:semiHidden/>
    <w:unhideWhenUsed/>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unhideWhenUsed/>
    <w:uiPriority w:val="99"/>
    <w:pPr>
      <w:tabs>
        <w:tab w:val="center" w:pos="4153"/>
        <w:tab w:val="right" w:pos="8306"/>
      </w:tabs>
      <w:snapToGrid w:val="0"/>
      <w:spacing w:line="240" w:lineRule="atLeast"/>
      <w:jc w:val="left"/>
    </w:pPr>
    <w:rPr>
      <w:sz w:val="18"/>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unhideWhenUsed/>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unhideWhenUsed/>
    <w:locked/>
    <w:uiPriority w:val="99"/>
    <w:rPr>
      <w:rFonts w:hint="eastAsia" w:ascii="Times New Roman" w:hAnsi="Times New Roman" w:eastAsia="宋体"/>
      <w:sz w:val="18"/>
      <w:szCs w:val="24"/>
    </w:rPr>
  </w:style>
  <w:style w:type="character" w:customStyle="1" w:styleId="17">
    <w:name w:val="无间隔 Char"/>
    <w:link w:val="15"/>
    <w:unhideWhenUsed/>
    <w:locked/>
    <w:uiPriority w:val="1"/>
    <w:rPr>
      <w:rFonts w:hint="default"/>
      <w:sz w:val="22"/>
      <w:szCs w:val="24"/>
    </w:rPr>
  </w:style>
  <w:style w:type="character" w:customStyle="1" w:styleId="18">
    <w:name w:val="页脚 Char"/>
    <w:basedOn w:val="9"/>
    <w:link w:val="3"/>
    <w:unhideWhenUsed/>
    <w:locked/>
    <w:uiPriority w:val="99"/>
    <w:rPr>
      <w:rFonts w:hint="eastAsia" w:ascii="Times New Roman" w:hAnsi="Times New Roman" w:eastAsia="宋体"/>
      <w:sz w:val="18"/>
      <w:szCs w:val="24"/>
    </w:rPr>
  </w:style>
  <w:style w:type="character" w:customStyle="1" w:styleId="19">
    <w:name w:val="正文文本 Char"/>
    <w:basedOn w:val="9"/>
    <w:link w:val="2"/>
    <w:uiPriority w:val="1"/>
    <w:rPr>
      <w:rFonts w:ascii="微软雅黑" w:hAnsi="微软雅黑" w:eastAsia="微软雅黑"/>
      <w:sz w:val="41"/>
      <w:szCs w:val="24"/>
    </w:rPr>
  </w:style>
  <w:style w:type="character" w:customStyle="1" w:styleId="20">
    <w:name w:val="font21"/>
    <w:basedOn w:val="9"/>
    <w:uiPriority w:val="0"/>
    <w:rPr>
      <w:rFonts w:hint="eastAsia" w:ascii="仿宋" w:hAnsi="仿宋" w:eastAsia="仿宋" w:cs="仿宋"/>
      <w:b/>
      <w:bCs/>
      <w:color w:val="FFFFFF"/>
      <w:sz w:val="24"/>
      <w:szCs w:val="24"/>
      <w:u w:val="none"/>
    </w:rPr>
  </w:style>
  <w:style w:type="character" w:customStyle="1" w:styleId="21">
    <w:name w:val="font01"/>
    <w:basedOn w:val="9"/>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6085;&#24120;&#24037;&#20316;--&#19987;&#21033;&#20998;&#26512;&#25253;&#21578;\2023&#31532;&#20108;&#23395;&#24230;&#19987;&#21033;&#24773;&#20917;&#32479;&#35745;\CNKI-2023&#31532;&#20108;&#23395;&#24230;&#19987;&#21033;&#25968;&#2545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cap="none" spc="20" baseline="0">
                <a:solidFill>
                  <a:schemeClr val="dk1">
                    <a:lumMod val="50000"/>
                    <a:lumOff val="50000"/>
                  </a:schemeClr>
                </a:solidFill>
                <a:latin typeface="+mn-lt"/>
                <a:ea typeface="+mn-ea"/>
                <a:cs typeface="+mn-cs"/>
              </a:defRPr>
            </a:pPr>
            <a:r>
              <a:t>专利总体趋势</a:t>
            </a:r>
          </a:p>
        </c:rich>
      </c:tx>
      <c:layout/>
      <c:overlay val="0"/>
      <c:spPr>
        <a:noFill/>
        <a:ln>
          <a:noFill/>
        </a:ln>
        <a:effectLst/>
      </c:spPr>
    </c:title>
    <c:autoTitleDeleted val="0"/>
    <c:plotArea>
      <c:layout/>
      <c:lineChart>
        <c:grouping val="standard"/>
        <c:varyColors val="0"/>
        <c:ser>
          <c:idx val="0"/>
          <c:order val="0"/>
          <c:spPr>
            <a:ln w="22225" cap="rnd" cmpd="sng" algn="ctr">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65000"/>
                        <a:lumOff val="35000"/>
                      </a:schemeClr>
                    </a:solidFill>
                    <a:latin typeface="+mn-lt"/>
                    <a:ea typeface="+mn-ea"/>
                    <a:cs typeface="+mn-cs"/>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35000"/>
                          <a:lumOff val="65000"/>
                        </a:schemeClr>
                      </a:solidFill>
                    </a:ln>
                    <a:effectLst/>
                  </c:spPr>
                </c15:leaderLines>
              </c:ext>
            </c:extLst>
          </c:dLbls>
          <c:cat>
            <c:numRef>
              <c:f>'[CNKI-2023第二季度专利数据.xls]数量分析'!$A$2:$A$4</c:f>
              <c:numCache>
                <c:formatCode>yyyy"年"m"月"</c:formatCode>
                <c:ptCount val="3"/>
                <c:pt idx="0" c:formatCode="yyyy&quot;年&quot;m&quot;月&quot;">
                  <c:v>45017</c:v>
                </c:pt>
                <c:pt idx="1" c:formatCode="yyyy&quot;年&quot;m&quot;月&quot;">
                  <c:v>45047</c:v>
                </c:pt>
                <c:pt idx="2" c:formatCode="yyyy&quot;年&quot;m&quot;月&quot;">
                  <c:v>45078</c:v>
                </c:pt>
              </c:numCache>
            </c:numRef>
          </c:cat>
          <c:val>
            <c:numRef>
              <c:f>'[CNKI-2023第二季度专利数据.xls]数量分析'!$B$2:$B$4</c:f>
              <c:numCache>
                <c:formatCode>General</c:formatCode>
                <c:ptCount val="3"/>
                <c:pt idx="0">
                  <c:v>4</c:v>
                </c:pt>
                <c:pt idx="1">
                  <c:v>10</c:v>
                </c:pt>
                <c:pt idx="2">
                  <c:v>13</c:v>
                </c:pt>
              </c:numCache>
            </c:numRef>
          </c:val>
          <c:smooth val="0"/>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0"/>
        <c:smooth val="0"/>
        <c:axId val="434251062"/>
        <c:axId val="144791435"/>
      </c:lineChart>
      <c:dateAx>
        <c:axId val="434251062"/>
        <c:scaling>
          <c:orientation val="minMax"/>
        </c:scaling>
        <c:delete val="0"/>
        <c:axPos val="b"/>
        <c:majorTickMark val="out"/>
        <c:minorTickMark val="none"/>
        <c:tickLblPos val="nextTo"/>
        <c:spPr>
          <a:noFill/>
          <a:ln w="9525" cap="flat" cmpd="sng" algn="ctr">
            <a:solidFill>
              <a:schemeClr val="dk1">
                <a:lumMod val="15000"/>
                <a:lumOff val="85000"/>
              </a:schemeClr>
            </a:solidFill>
            <a:round/>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144791435"/>
        <c:crosses val="autoZero"/>
        <c:auto val="1"/>
        <c:lblOffset val="100"/>
        <c:baseTimeUnit val="months"/>
      </c:dateAx>
      <c:valAx>
        <c:axId val="144791435"/>
        <c:scaling>
          <c:orientation val="minMax"/>
        </c:scaling>
        <c:delete val="0"/>
        <c:axPos val="l"/>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spc="20" baseline="0">
                <a:solidFill>
                  <a:schemeClr val="dk1">
                    <a:lumMod val="65000"/>
                    <a:lumOff val="35000"/>
                  </a:schemeClr>
                </a:solidFill>
                <a:latin typeface="+mn-lt"/>
                <a:ea typeface="+mn-ea"/>
                <a:cs typeface="+mn-cs"/>
              </a:defRPr>
            </a:pPr>
          </a:p>
        </c:txPr>
        <c:crossAx val="43425106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专利类别</a:t>
            </a:r>
          </a:p>
        </c:rich>
      </c:tx>
      <c:layout>
        <c:manualLayout>
          <c:xMode val="edge"/>
          <c:yMode val="edge"/>
          <c:x val="0.416527777777778"/>
          <c:y val="0.03125"/>
        </c:manualLayout>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'[CNKI-2023第二季度专利数据.xls]专利类别'!$C$1:$C$3</c:f>
              <c:strCache>
                <c:ptCount val="3"/>
                <c:pt idx="0">
                  <c:v>发明公开</c:v>
                </c:pt>
                <c:pt idx="1">
                  <c:v>发明授权</c:v>
                </c:pt>
                <c:pt idx="2">
                  <c:v>实用新型</c:v>
                </c:pt>
              </c:strCache>
            </c:strRef>
          </c:cat>
          <c:val>
            <c:numRef>
              <c:f>'[CNKI-2023第二季度专利数据.xls]专利类别'!$D$1:$D$3</c:f>
              <c:numCache>
                <c:formatCode>@</c:formatCode>
                <c:ptCount val="3"/>
                <c:pt idx="0">
                  <c:v>14</c:v>
                </c:pt>
                <c:pt idx="1">
                  <c:v>11</c:v>
                </c:pt>
                <c:pt idx="2">
                  <c:v>2</c:v>
                </c:pt>
              </c:numCache>
            </c:numRef>
          </c:val>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学科分布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Pt>
            <c:idx val="15"/>
            <c:bubble3D val="0"/>
            <c:spPr>
              <a:solidFill>
                <a:schemeClr val="accent4">
                  <a:lumMod val="80000"/>
                  <a:lumOff val="20000"/>
                </a:schemeClr>
              </a:solidFill>
              <a:ln w="19050">
                <a:solidFill>
                  <a:schemeClr val="lt1"/>
                </a:solidFill>
              </a:ln>
              <a:effectLst/>
            </c:spPr>
          </c:dPt>
          <c:dPt>
            <c:idx val="16"/>
            <c:bubble3D val="0"/>
            <c:spPr>
              <a:solidFill>
                <a:schemeClr val="accent5">
                  <a:lumMod val="80000"/>
                  <a:lumOff val="20000"/>
                </a:schemeClr>
              </a:solidFill>
              <a:ln w="19050">
                <a:solidFill>
                  <a:schemeClr val="lt1"/>
                </a:solidFill>
              </a:ln>
              <a:effectLst/>
            </c:spPr>
          </c:dPt>
          <c:dPt>
            <c:idx val="17"/>
            <c:bubble3D val="0"/>
            <c:spPr>
              <a:solidFill>
                <a:schemeClr val="accent6">
                  <a:lumMod val="80000"/>
                  <a:lumOff val="2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'[CNKI-2023第二季度专利数据.xls]学科'!$F$2:$F$19</c:f>
              <c:strCache>
                <c:ptCount val="18"/>
                <c:pt idx="0">
                  <c:v>计算机软件及计算机技术</c:v>
                </c:pt>
                <c:pt idx="1">
                  <c:v>有机化学</c:v>
                </c:pt>
                <c:pt idx="2">
                  <c:v>材料科学</c:v>
                </c:pt>
                <c:pt idx="3">
                  <c:v>轻工业手工业</c:v>
                </c:pt>
                <c:pt idx="4">
                  <c:v>无机化学</c:v>
                </c:pt>
                <c:pt idx="5">
                  <c:v>化学</c:v>
                </c:pt>
                <c:pt idx="6">
                  <c:v>生物学</c:v>
                </c:pt>
                <c:pt idx="7">
                  <c:v>农业工程</c:v>
                </c:pt>
                <c:pt idx="8">
                  <c:v>农艺学</c:v>
                </c:pt>
                <c:pt idx="9">
                  <c:v>药学</c:v>
                </c:pt>
                <c:pt idx="10">
                  <c:v>农作物</c:v>
                </c:pt>
                <c:pt idx="11">
                  <c:v>公路与水路运输</c:v>
                </c:pt>
                <c:pt idx="12">
                  <c:v>植物保护</c:v>
                </c:pt>
                <c:pt idx="13">
                  <c:v>中药学</c:v>
                </c:pt>
                <c:pt idx="14">
                  <c:v>蚕蜂与野生动物保护</c:v>
                </c:pt>
                <c:pt idx="15">
                  <c:v>林业</c:v>
                </c:pt>
                <c:pt idx="16">
                  <c:v>园艺</c:v>
                </c:pt>
                <c:pt idx="17">
                  <c:v>无线电电子学</c:v>
                </c:pt>
              </c:strCache>
            </c:strRef>
          </c:cat>
          <c:val>
            <c:numRef>
              <c:f>'[CNKI-2023第二季度专利数据.xls]学科'!$G$2:$G$19</c:f>
              <c:numCache>
                <c:formatCode>General</c:formatCode>
                <c:ptCount val="18"/>
                <c:pt idx="0">
                  <c:v>3</c:v>
                </c:pt>
                <c:pt idx="1">
                  <c:v>2</c:v>
                </c:pt>
                <c:pt idx="2">
                  <c:v>2</c:v>
                </c:pt>
                <c:pt idx="3">
                  <c:v>2</c:v>
                </c:pt>
                <c:pt idx="4">
                  <c:v>2</c:v>
                </c:pt>
                <c:pt idx="5">
                  <c:v>2</c:v>
                </c:pt>
                <c:pt idx="6">
                  <c:v>2</c:v>
                </c:pt>
                <c:pt idx="7">
                  <c:v>2</c:v>
                </c:pt>
                <c:pt idx="8">
                  <c:v>2</c:v>
                </c:pt>
                <c:pt idx="9">
                  <c:v>2</c:v>
                </c:pt>
                <c:pt idx="10">
                  <c:v>1</c:v>
                </c:pt>
                <c:pt idx="11">
                  <c:v>1</c:v>
                </c:pt>
                <c:pt idx="12">
                  <c:v>1</c:v>
                </c:pt>
                <c:pt idx="13">
                  <c:v>1</c:v>
                </c:pt>
                <c:pt idx="14">
                  <c:v>1</c:v>
                </c:pt>
                <c:pt idx="15">
                  <c:v>1</c:v>
                </c:pt>
                <c:pt idx="16">
                  <c:v>1</c:v>
                </c:pt>
                <c:pt idx="17">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主要主题分布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'[CNKI-2023第二季度专利数据.xls]主题词'!$E$2:$E$21</c:f>
              <c:strCache>
                <c:ptCount val="20"/>
                <c:pt idx="0">
                  <c:v>制备方法</c:v>
                </c:pt>
                <c:pt idx="1">
                  <c:v>防泄密</c:v>
                </c:pt>
                <c:pt idx="2">
                  <c:v>滑模机</c:v>
                </c:pt>
                <c:pt idx="3">
                  <c:v>低共熔溶剂</c:v>
                </c:pt>
                <c:pt idx="4">
                  <c:v>Cu-Co-3O-4</c:v>
                </c:pt>
                <c:pt idx="5">
                  <c:v>土木工程</c:v>
                </c:pt>
                <c:pt idx="6">
                  <c:v>喷洒装置</c:v>
                </c:pt>
                <c:pt idx="7">
                  <c:v>检测设备</c:v>
                </c:pt>
                <c:pt idx="8">
                  <c:v>园林工程</c:v>
                </c:pt>
                <c:pt idx="9">
                  <c:v>注射器</c:v>
                </c:pt>
                <c:pt idx="10">
                  <c:v>美极梅奇酵母</c:v>
                </c:pt>
                <c:pt idx="11">
                  <c:v>GC-IMS</c:v>
                </c:pt>
                <c:pt idx="12">
                  <c:v>电极结构</c:v>
                </c:pt>
                <c:pt idx="13">
                  <c:v>提取方法</c:v>
                </c:pt>
                <c:pt idx="14">
                  <c:v>快速鉴别</c:v>
                </c:pt>
                <c:pt idx="15">
                  <c:v>相对转动</c:v>
                </c:pt>
                <c:pt idx="16">
                  <c:v>煎炸油</c:v>
                </c:pt>
                <c:pt idx="17">
                  <c:v>GAT</c:v>
                </c:pt>
                <c:pt idx="18">
                  <c:v>纳米金</c:v>
                </c:pt>
                <c:pt idx="19">
                  <c:v>气体净化装置</c:v>
                </c:pt>
              </c:strCache>
            </c:strRef>
          </c:cat>
          <c:val>
            <c:numRef>
              <c:f>'[CNKI-2023第二季度专利数据.xls]主题词'!$F$2:$F$21</c:f>
              <c:numCache>
                <c:formatCode>General</c:formatCode>
                <c:ptCount val="20"/>
                <c:pt idx="0">
                  <c:v>6</c:v>
                </c:pt>
                <c:pt idx="1">
                  <c:v>2</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dLbls>
        <c:gapWidth val="219"/>
        <c:overlap val="-27"/>
        <c:axId val="244064751"/>
        <c:axId val="267722426"/>
      </c:barChart>
      <c:catAx>
        <c:axId val="24406475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7722426"/>
        <c:crosses val="autoZero"/>
        <c:auto val="1"/>
        <c:lblAlgn val="ctr"/>
        <c:lblOffset val="100"/>
        <c:noMultiLvlLbl val="0"/>
      </c:catAx>
      <c:valAx>
        <c:axId val="26772242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4064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次要主题分布</a:t>
            </a: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'[CNKI-2023第二季度专利数据.xls]主题词'!$L$2:$L$21</c:f>
              <c:strCache>
                <c:ptCount val="20"/>
                <c:pt idx="0">
                  <c:v>固定连接</c:v>
                </c:pt>
                <c:pt idx="1">
                  <c:v>特征块</c:v>
                </c:pt>
                <c:pt idx="2">
                  <c:v>偏移量</c:v>
                </c:pt>
                <c:pt idx="3">
                  <c:v>二维矩阵</c:v>
                </c:pt>
                <c:pt idx="4">
                  <c:v>凯撒密码</c:v>
                </c:pt>
                <c:pt idx="5">
                  <c:v>文字结构</c:v>
                </c:pt>
                <c:pt idx="6">
                  <c:v>板栗仁</c:v>
                </c:pt>
                <c:pt idx="7">
                  <c:v>出料管</c:v>
                </c:pt>
                <c:pt idx="8">
                  <c:v>TMB</c:v>
                </c:pt>
                <c:pt idx="9">
                  <c:v>最大长度</c:v>
                </c:pt>
                <c:pt idx="10">
                  <c:v>土壤改良剂</c:v>
                </c:pt>
                <c:pt idx="11">
                  <c:v>监测数据</c:v>
                </c:pt>
                <c:pt idx="12">
                  <c:v>伞形齿轮</c:v>
                </c:pt>
                <c:pt idx="13">
                  <c:v>浸种处理</c:v>
                </c:pt>
                <c:pt idx="14">
                  <c:v>限位柱</c:v>
                </c:pt>
                <c:pt idx="15">
                  <c:v>变速器</c:v>
                </c:pt>
                <c:pt idx="16">
                  <c:v>小麦种子</c:v>
                </c:pt>
                <c:pt idx="17">
                  <c:v>八面体</c:v>
                </c:pt>
                <c:pt idx="18">
                  <c:v>介电常数</c:v>
                </c:pt>
                <c:pt idx="19">
                  <c:v>导向槽</c:v>
                </c:pt>
              </c:strCache>
            </c:strRef>
          </c:cat>
          <c:val>
            <c:numRef>
              <c:f>'[CNKI-2023第二季度专利数据.xls]主题词'!$M$2:$M$21</c:f>
              <c:numCache>
                <c:formatCode>General</c:formatCode>
                <c:ptCount val="20"/>
                <c:pt idx="0">
                  <c:v>4</c:v>
                </c:pt>
                <c:pt idx="1">
                  <c:v>2</c:v>
                </c:pt>
                <c:pt idx="2">
                  <c:v>2</c:v>
                </c:pt>
                <c:pt idx="3">
                  <c:v>2</c:v>
                </c:pt>
                <c:pt idx="4">
                  <c:v>2</c:v>
                </c:pt>
                <c:pt idx="5">
                  <c:v>2</c:v>
                </c:pt>
                <c:pt idx="6">
                  <c:v>2</c:v>
                </c:pt>
                <c:pt idx="7">
                  <c:v>1</c:v>
                </c:pt>
                <c:pt idx="8">
                  <c:v>1</c:v>
                </c:pt>
                <c:pt idx="9">
                  <c:v>1</c:v>
                </c:pt>
                <c:pt idx="10">
                  <c:v>1</c:v>
                </c:pt>
                <c:pt idx="11">
                  <c:v>1</c:v>
                </c:pt>
                <c:pt idx="12">
                  <c:v>1</c:v>
                </c:pt>
                <c:pt idx="13">
                  <c:v>1</c:v>
                </c:pt>
                <c:pt idx="14">
                  <c:v>1</c:v>
                </c:pt>
                <c:pt idx="15">
                  <c:v>1</c:v>
                </c:pt>
                <c:pt idx="16">
                  <c:v>1</c:v>
                </c:pt>
                <c:pt idx="17">
                  <c:v>1</c:v>
                </c:pt>
                <c:pt idx="18">
                  <c:v>1</c:v>
                </c:pt>
                <c:pt idx="19">
                  <c:v>1</c:v>
                </c:pt>
              </c:numCache>
            </c:numRef>
          </c:val>
        </c:ser>
        <c:dLbls>
          <c:showLegendKey val="0"/>
          <c:showVal val="1"/>
          <c:showCatName val="0"/>
          <c:showSerName val="0"/>
          <c:showPercent val="0"/>
          <c:showBubbleSize val="0"/>
        </c:dLbls>
        <c:gapWidth val="219"/>
        <c:overlap val="-27"/>
        <c:axId val="430990350"/>
        <c:axId val="77875933"/>
      </c:barChart>
      <c:catAx>
        <c:axId val="43099035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875933"/>
        <c:crosses val="autoZero"/>
        <c:auto val="1"/>
        <c:lblAlgn val="ctr"/>
        <c:lblOffset val="100"/>
        <c:noMultiLvlLbl val="0"/>
      </c:catAx>
      <c:valAx>
        <c:axId val="7787593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099035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技术领域与产业构成分布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'[CNKI-2023第二季度专利数据.xls]IPC'!$C$3:$C$14</c:f>
              <c:strCache>
                <c:ptCount val="12"/>
                <c:pt idx="0">
                  <c:v>A01</c:v>
                </c:pt>
                <c:pt idx="1">
                  <c:v>B01</c:v>
                </c:pt>
                <c:pt idx="2">
                  <c:v>G06</c:v>
                </c:pt>
                <c:pt idx="3">
                  <c:v>A61</c:v>
                </c:pt>
                <c:pt idx="4">
                  <c:v>G01</c:v>
                </c:pt>
                <c:pt idx="5">
                  <c:v>B05</c:v>
                </c:pt>
                <c:pt idx="6">
                  <c:v>B27</c:v>
                </c:pt>
                <c:pt idx="7">
                  <c:v>C05</c:v>
                </c:pt>
                <c:pt idx="8">
                  <c:v>C08</c:v>
                </c:pt>
                <c:pt idx="9">
                  <c:v>C12</c:v>
                </c:pt>
                <c:pt idx="10">
                  <c:v>E01</c:v>
                </c:pt>
                <c:pt idx="11">
                  <c:v>H01</c:v>
                </c:pt>
              </c:strCache>
            </c:strRef>
          </c:cat>
          <c:val>
            <c:numRef>
              <c:f>'[CNKI-2023第二季度专利数据.xls]IPC'!$D$3:$D$14</c:f>
              <c:numCache>
                <c:formatCode>General</c:formatCode>
                <c:ptCount val="12"/>
                <c:pt idx="0">
                  <c:v>8</c:v>
                </c:pt>
                <c:pt idx="1">
                  <c:v>5</c:v>
                </c:pt>
                <c:pt idx="2">
                  <c:v>3</c:v>
                </c:pt>
                <c:pt idx="3">
                  <c:v>2</c:v>
                </c:pt>
                <c:pt idx="4">
                  <c:v>2</c:v>
                </c:pt>
                <c:pt idx="5">
                  <c:v>1</c:v>
                </c:pt>
                <c:pt idx="6">
                  <c:v>1</c:v>
                </c:pt>
                <c:pt idx="7">
                  <c:v>1</c:v>
                </c:pt>
                <c:pt idx="8">
                  <c:v>1</c:v>
                </c:pt>
                <c:pt idx="9">
                  <c:v>1</c:v>
                </c:pt>
                <c:pt idx="10">
                  <c:v>1</c:v>
                </c:pt>
                <c:pt idx="11">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申请机构分布</a:t>
            </a:r>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'[CNKI-2023第二季度专利数据.xls]申请机构'!$D$1:$D$2</c:f>
              <c:strCache>
                <c:ptCount val="2"/>
                <c:pt idx="0">
                  <c:v>河北科技师范学院</c:v>
                </c:pt>
                <c:pt idx="1">
                  <c:v>河北科技师范学院+其他机构</c:v>
                </c:pt>
              </c:strCache>
            </c:strRef>
          </c:cat>
          <c:val>
            <c:numRef>
              <c:f>'[CNKI-2023第二季度专利数据.xls]申请机构'!$E$1:$E$2</c:f>
              <c:numCache>
                <c:formatCode>General</c:formatCode>
                <c:ptCount val="2"/>
                <c:pt idx="0">
                  <c:v>21</c:v>
                </c:pt>
                <c:pt idx="1">
                  <c:v>6</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1880</Words>
  <Characters>2036</Characters>
  <Lines>20</Lines>
  <Paragraphs>5</Paragraphs>
  <TotalTime>2</TotalTime>
  <ScaleCrop>false</ScaleCrop>
  <LinksUpToDate>false</LinksUpToDate>
  <CharactersWithSpaces>2388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2023-08-28T08:00:07Z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55800B5F88B5493DA75F3E47F422650E_13</vt:lpwstr>
  </property>
</Properties>
</file>