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2023年</w:t>
                            </w:r>
                            <w:r>
                              <w:rPr>
                                <w:rFonts w:hint="eastAsia" w:ascii="微软雅黑" w:hAnsi="微软雅黑" w:eastAsia="微软雅黑"/>
                                <w:b/>
                                <w:color w:val="5B9BD5"/>
                                <w:sz w:val="28"/>
                                <w:lang w:val="en-US" w:eastAsia="zh-CN"/>
                              </w:rPr>
                              <w:t>10</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2023年</w:t>
                      </w:r>
                      <w:r>
                        <w:rPr>
                          <w:rFonts w:hint="eastAsia" w:ascii="微软雅黑" w:hAnsi="微软雅黑" w:eastAsia="微软雅黑"/>
                          <w:b/>
                          <w:color w:val="5B9BD5"/>
                          <w:sz w:val="28"/>
                          <w:lang w:val="en-US" w:eastAsia="zh-CN"/>
                        </w:rPr>
                        <w:t>10</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2023年</w:t>
                            </w:r>
                            <w:r>
                              <w:rPr>
                                <w:rFonts w:hint="eastAsia" w:ascii="微软雅黑" w:hAnsi="微软雅黑" w:eastAsia="微软雅黑"/>
                                <w:b/>
                                <w:color w:val="5B9BD5"/>
                                <w:sz w:val="52"/>
                                <w:szCs w:val="52"/>
                                <w:u w:val="dashLongHeavy"/>
                                <w:lang w:eastAsia="zh-CN"/>
                              </w:rPr>
                              <w:t>第三季度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2023年</w:t>
                      </w:r>
                      <w:r>
                        <w:rPr>
                          <w:rFonts w:hint="eastAsia" w:ascii="微软雅黑" w:hAnsi="微软雅黑" w:eastAsia="微软雅黑"/>
                          <w:b/>
                          <w:color w:val="5B9BD5"/>
                          <w:sz w:val="52"/>
                          <w:szCs w:val="52"/>
                          <w:u w:val="dashLongHeavy"/>
                          <w:lang w:eastAsia="zh-CN"/>
                        </w:rPr>
                        <w:t>第三季度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default" w:ascii="微软雅黑" w:hAnsi="微软雅黑" w:eastAsia="微软雅黑"/>
                          <w:color w:val="000000"/>
                          <w:sz w:val="48"/>
                        </w:rPr>
                      </w:pPr>
                    </w:p>
                  </w:txbxContent>
                </v:textbox>
              </v:shape>
            </w:pict>
          </mc:Fallback>
        </mc:AlternateContent>
      </w:r>
    </w:p>
    <w:p>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（1）中国知网（CNKI）专利数据库，数据统计下载日期为2023年</w:t>
      </w:r>
      <w:r>
        <w:rPr>
          <w:rFonts w:hint="eastAsia" w:ascii="仿宋" w:hAnsi="仿宋" w:eastAsia="仿宋" w:cs="仿宋"/>
          <w:sz w:val="28"/>
          <w:szCs w:val="28"/>
          <w:lang w:val="en-US" w:eastAsia="zh-CN"/>
        </w:rPr>
        <w:t>10</w:t>
      </w:r>
      <w:r>
        <w:rPr>
          <w:rFonts w:ascii="仿宋" w:hAnsi="仿宋" w:eastAsia="仿宋" w:cs="仿宋"/>
          <w:sz w:val="28"/>
          <w:szCs w:val="28"/>
        </w:rPr>
        <w:t>月1</w:t>
      </w:r>
      <w:r>
        <w:rPr>
          <w:rFonts w:hint="eastAsia" w:ascii="仿宋" w:hAnsi="仿宋" w:eastAsia="仿宋" w:cs="仿宋"/>
          <w:sz w:val="28"/>
          <w:szCs w:val="28"/>
          <w:lang w:val="en-US" w:eastAsia="zh-CN"/>
        </w:rPr>
        <w:t>6</w:t>
      </w:r>
      <w:r>
        <w:rPr>
          <w:rFonts w:ascii="仿宋" w:hAnsi="仿宋" w:eastAsia="仿宋" w:cs="仿宋"/>
          <w:sz w:val="28"/>
          <w:szCs w:val="28"/>
        </w:rPr>
        <w:t>日。</w:t>
      </w:r>
    </w:p>
    <w:p>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（2）国家知识产权局专利检索及分析数据库，数据统计下载日期为2023年</w:t>
      </w:r>
      <w:r>
        <w:rPr>
          <w:rFonts w:hint="eastAsia" w:ascii="仿宋" w:hAnsi="仿宋" w:eastAsia="仿宋" w:cs="仿宋"/>
          <w:sz w:val="28"/>
          <w:szCs w:val="28"/>
          <w:lang w:val="en-US" w:eastAsia="zh-CN"/>
        </w:rPr>
        <w:t>10</w:t>
      </w:r>
      <w:r>
        <w:rPr>
          <w:rFonts w:ascii="仿宋" w:hAnsi="仿宋" w:eastAsia="仿宋" w:cs="仿宋"/>
          <w:sz w:val="28"/>
          <w:szCs w:val="28"/>
        </w:rPr>
        <w:t>月2</w:t>
      </w:r>
      <w:r>
        <w:rPr>
          <w:rFonts w:hint="eastAsia" w:ascii="仿宋" w:hAnsi="仿宋" w:eastAsia="仿宋" w:cs="仿宋"/>
          <w:sz w:val="28"/>
          <w:szCs w:val="28"/>
          <w:lang w:val="en-US" w:eastAsia="zh-CN"/>
        </w:rPr>
        <w:t>0</w:t>
      </w:r>
      <w:r>
        <w:rPr>
          <w:rFonts w:ascii="仿宋" w:hAnsi="仿宋" w:eastAsia="仿宋" w:cs="仿宋"/>
          <w:sz w:val="28"/>
          <w:szCs w:val="28"/>
        </w:rPr>
        <w:t>日。</w:t>
      </w:r>
    </w:p>
    <w:p>
      <w:pPr>
        <w:spacing w:line="480" w:lineRule="auto"/>
        <w:outlineLvl w:val="0"/>
        <w:rPr>
          <w:rFonts w:hint="default" w:ascii="仿宋" w:hAnsi="仿宋" w:eastAsia="仿宋" w:cs="仿宋"/>
          <w:sz w:val="28"/>
          <w:szCs w:val="28"/>
        </w:rPr>
      </w:pPr>
      <w:bookmarkStart w:id="0" w:name="_Toc5625"/>
      <w:bookmarkStart w:id="1" w:name="_Toc9874"/>
      <w:bookmarkStart w:id="2" w:name="_Toc20858"/>
      <w:bookmarkStart w:id="3" w:name="_Toc9203"/>
      <w:bookmarkStart w:id="4" w:name="_Toc31217"/>
      <w:r>
        <w:rPr>
          <w:rFonts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default" w:ascii="仿宋" w:hAnsi="仿宋" w:eastAsia="仿宋" w:cs="仿宋"/>
          <w:sz w:val="28"/>
          <w:szCs w:val="28"/>
        </w:rPr>
      </w:pPr>
      <w:bookmarkStart w:id="5" w:name="_Toc29516"/>
      <w:bookmarkStart w:id="6" w:name="_Toc25482"/>
      <w:bookmarkStart w:id="7" w:name="_Toc17869"/>
      <w:bookmarkStart w:id="8" w:name="_Toc3908"/>
      <w:bookmarkStart w:id="9" w:name="_Toc11709"/>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pPr>
        <w:spacing w:line="480" w:lineRule="auto"/>
        <w:jc w:val="left"/>
        <w:outlineLvl w:val="0"/>
        <w:rPr>
          <w:rFonts w:hint="default" w:ascii="仿宋" w:hAnsi="仿宋" w:eastAsia="仿宋" w:cs="仿宋"/>
          <w:sz w:val="28"/>
          <w:szCs w:val="28"/>
        </w:rPr>
      </w:pPr>
      <w:bookmarkStart w:id="10" w:name="_Toc6044"/>
      <w:bookmarkStart w:id="11" w:name="_Toc27907"/>
      <w:bookmarkStart w:id="12" w:name="_Toc5698"/>
      <w:bookmarkStart w:id="13" w:name="_Toc2529"/>
      <w:bookmarkStart w:id="14" w:name="_Toc10280"/>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pPr>
        <w:adjustRightInd/>
        <w:spacing w:line="240" w:lineRule="atLeast"/>
        <w:rPr>
          <w:rFonts w:hint="default" w:ascii="仿宋" w:hAnsi="仿宋" w:eastAsia="仿宋" w:cs="仿宋"/>
          <w:sz w:val="28"/>
          <w:szCs w:val="28"/>
        </w:rPr>
      </w:pPr>
    </w:p>
    <w:p>
      <w:pPr>
        <w:rPr>
          <w:rFonts w:hint="default"/>
        </w:rPr>
      </w:pPr>
    </w:p>
    <w:p>
      <w:pPr>
        <w:rPr>
          <w:rFonts w:hint="default"/>
        </w:rPr>
      </w:pPr>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rPr>
              <w:b/>
            </w:rPr>
          </w:pPr>
        </w:p>
        <w:p>
          <w:pPr>
            <w:rPr>
              <w:rFonts w:hint="default"/>
            </w:rPr>
          </w:pPr>
          <w:r>
            <w:rPr>
              <w:b/>
            </w:rPr>
            <w:fldChar w:fldCharType="end"/>
          </w:r>
        </w:p>
      </w:sdtContent>
    </w:sdt>
    <w:p>
      <w:pPr>
        <w:jc w:val="center"/>
        <w:outlineLvl w:val="0"/>
        <w:rPr>
          <w:rFonts w:hint="default" w:ascii="黑体" w:hAnsi="黑体" w:eastAsia="黑体" w:cs="黑体"/>
          <w:b/>
          <w:bCs/>
          <w:sz w:val="44"/>
          <w:szCs w:val="44"/>
        </w:rPr>
      </w:pPr>
      <w:bookmarkStart w:id="15" w:name="_Toc10867"/>
      <w:bookmarkStart w:id="16" w:name="_Toc10613"/>
      <w:bookmarkStart w:id="17" w:name="_Toc32336"/>
      <w:bookmarkStart w:id="18" w:name="_Toc30326"/>
      <w:bookmarkStart w:id="19" w:name="_Toc23538"/>
      <w:bookmarkStart w:id="20" w:name="_Toc10728"/>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pPr>
        <w:jc w:val="center"/>
        <w:outlineLvl w:val="0"/>
        <w:rPr>
          <w:rFonts w:hint="default" w:ascii="黑体" w:hAnsi="黑体" w:eastAsia="黑体" w:cs="黑体"/>
          <w:b/>
          <w:bCs/>
          <w:sz w:val="44"/>
          <w:szCs w:val="44"/>
        </w:rPr>
      </w:pPr>
      <w:bookmarkStart w:id="21" w:name="_Toc8609"/>
      <w:bookmarkStart w:id="22" w:name="_Toc23731"/>
      <w:bookmarkStart w:id="23" w:name="_Toc29920"/>
      <w:bookmarkStart w:id="24" w:name="_Toc18557"/>
      <w:bookmarkStart w:id="25" w:name="_Toc9198"/>
      <w:bookmarkStart w:id="26" w:name="_Toc23894"/>
      <w:r>
        <w:rPr>
          <w:rFonts w:ascii="黑体" w:hAnsi="黑体" w:eastAsia="黑体" w:cs="黑体"/>
          <w:b/>
          <w:bCs/>
          <w:sz w:val="44"/>
          <w:szCs w:val="44"/>
        </w:rPr>
        <w:t>2023年</w:t>
      </w:r>
      <w:r>
        <w:rPr>
          <w:rFonts w:hint="eastAsia" w:ascii="黑体" w:hAnsi="黑体" w:eastAsia="黑体" w:cs="黑体"/>
          <w:b/>
          <w:bCs/>
          <w:sz w:val="44"/>
          <w:szCs w:val="44"/>
          <w:lang w:eastAsia="zh-CN"/>
        </w:rPr>
        <w:t>第三季度</w:t>
      </w:r>
      <w:r>
        <w:rPr>
          <w:rFonts w:ascii="黑体" w:hAnsi="黑体" w:eastAsia="黑体" w:cs="黑体"/>
          <w:b/>
          <w:bCs/>
          <w:sz w:val="44"/>
          <w:szCs w:val="44"/>
        </w:rPr>
        <w:t>专利情况统计分析报告</w:t>
      </w:r>
      <w:bookmarkEnd w:id="21"/>
      <w:bookmarkEnd w:id="22"/>
      <w:bookmarkEnd w:id="23"/>
      <w:bookmarkEnd w:id="24"/>
      <w:bookmarkEnd w:id="25"/>
      <w:bookmarkEnd w:id="26"/>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通过CNKI数据库和国家知识产权局专利检索及分析数据库检索，在2023年</w:t>
      </w:r>
      <w:r>
        <w:rPr>
          <w:rFonts w:hint="eastAsia" w:ascii="仿宋" w:hAnsi="仿宋" w:eastAsia="仿宋" w:cs="仿宋"/>
          <w:sz w:val="28"/>
          <w:szCs w:val="28"/>
          <w:lang w:eastAsia="zh-CN"/>
        </w:rPr>
        <w:t>第三季度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21</w:t>
      </w:r>
      <w:r>
        <w:rPr>
          <w:rFonts w:ascii="仿宋" w:hAnsi="仿宋" w:eastAsia="仿宋" w:cs="仿宋"/>
          <w:sz w:val="28"/>
          <w:szCs w:val="28"/>
        </w:rPr>
        <w:t>件，具体分布情况见表1。2023年</w:t>
      </w:r>
      <w:r>
        <w:rPr>
          <w:rFonts w:hint="eastAsia" w:ascii="仿宋" w:hAnsi="仿宋" w:eastAsia="仿宋" w:cs="仿宋"/>
          <w:sz w:val="28"/>
          <w:szCs w:val="28"/>
          <w:lang w:eastAsia="zh-CN"/>
        </w:rPr>
        <w:t>第三季度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，2023年</w:t>
      </w:r>
      <w:r>
        <w:rPr>
          <w:rFonts w:hint="eastAsia" w:ascii="仿宋" w:hAnsi="仿宋" w:eastAsia="仿宋" w:cs="仿宋"/>
          <w:sz w:val="28"/>
          <w:szCs w:val="28"/>
          <w:lang w:val="en-US" w:eastAsia="zh-CN"/>
        </w:rPr>
        <w:t>8</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pPr>
        <w:spacing w:line="48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2023年7月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2023年8月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10</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2023年9月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3</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21</w:t>
            </w:r>
          </w:p>
        </w:tc>
      </w:tr>
    </w:tbl>
    <w:p>
      <w:pPr>
        <w:tabs>
          <w:tab w:val="left" w:pos="312"/>
        </w:tabs>
        <w:rPr>
          <w:rFonts w:hint="default" w:ascii="仿宋" w:hAnsi="仿宋" w:eastAsia="仿宋" w:cs="仿宋"/>
          <w:b/>
          <w:bCs/>
          <w:sz w:val="24"/>
        </w:rPr>
      </w:pPr>
    </w:p>
    <w:p>
      <w:pPr>
        <w:tabs>
          <w:tab w:val="left" w:pos="312"/>
        </w:tabs>
        <w:jc w:val="center"/>
        <w:rPr>
          <w:rFonts w:hint="default" w:ascii="仿宋" w:hAnsi="仿宋" w:eastAsia="仿宋" w:cs="仿宋"/>
          <w:b/>
          <w:bCs/>
          <w:sz w:val="24"/>
        </w:rPr>
      </w:pPr>
    </w:p>
    <w:p>
      <w:pPr>
        <w:tabs>
          <w:tab w:val="left" w:pos="312"/>
        </w:tabs>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专利总体趋势</w:t>
      </w:r>
    </w:p>
    <w:p>
      <w:pPr>
        <w:tabs>
          <w:tab w:val="left" w:pos="312"/>
        </w:tabs>
        <w:jc w:val="center"/>
        <w:rPr>
          <w:rFonts w:ascii="仿宋" w:hAnsi="仿宋" w:eastAsia="仿宋" w:cs="仿宋"/>
          <w:b/>
          <w:bCs/>
          <w:color w:val="000000"/>
          <w:sz w:val="24"/>
          <w:lang w:bidi="ar"/>
        </w:rPr>
      </w:pPr>
    </w:p>
    <w:p>
      <w:pPr>
        <w:tabs>
          <w:tab w:val="left" w:pos="312"/>
        </w:tabs>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tabs>
          <w:tab w:val="left" w:pos="312"/>
        </w:tabs>
        <w:jc w:val="both"/>
        <w:rPr>
          <w:rFonts w:hint="default" w:ascii="黑体" w:hAnsi="黑体" w:eastAsia="黑体" w:cs="黑体"/>
          <w:b/>
          <w:bCs/>
          <w:sz w:val="32"/>
          <w:szCs w:val="32"/>
        </w:rPr>
      </w:pPr>
      <w:bookmarkStart w:id="28" w:name="_Toc6255"/>
      <w:r>
        <w:rPr>
          <w:rFonts w:ascii="黑体" w:hAnsi="黑体" w:eastAsia="黑体" w:cs="黑体"/>
          <w:b/>
          <w:bCs/>
          <w:sz w:val="32"/>
          <w:szCs w:val="32"/>
        </w:rPr>
        <w:t>2.专利类别分析</w:t>
      </w:r>
      <w:bookmarkEnd w:id="28"/>
    </w:p>
    <w:p>
      <w:pPr>
        <w:ind w:firstLine="560" w:firstLineChars="200"/>
        <w:rPr>
          <w:rFonts w:hint="default" w:ascii="仿宋" w:hAnsi="仿宋" w:eastAsia="仿宋" w:cs="仿宋"/>
          <w:sz w:val="28"/>
          <w:szCs w:val="28"/>
        </w:rPr>
      </w:pPr>
      <w:r>
        <w:rPr>
          <w:rFonts w:ascii="仿宋" w:hAnsi="仿宋" w:eastAsia="仿宋" w:cs="仿宋"/>
          <w:sz w:val="28"/>
          <w:szCs w:val="28"/>
        </w:rPr>
        <w:t>综合分析2023年</w:t>
      </w:r>
      <w:r>
        <w:rPr>
          <w:rFonts w:hint="eastAsia" w:ascii="仿宋" w:hAnsi="仿宋" w:eastAsia="仿宋" w:cs="仿宋"/>
          <w:sz w:val="28"/>
          <w:szCs w:val="28"/>
          <w:lang w:eastAsia="zh-CN"/>
        </w:rPr>
        <w:t>第三季度</w:t>
      </w:r>
      <w:r>
        <w:rPr>
          <w:rFonts w:ascii="仿宋" w:hAnsi="仿宋" w:eastAsia="仿宋" w:cs="仿宋"/>
          <w:sz w:val="28"/>
          <w:szCs w:val="28"/>
        </w:rPr>
        <w:t>我校公布公告的专利类别，发明公开专利1</w:t>
      </w:r>
      <w:r>
        <w:rPr>
          <w:rFonts w:hint="eastAsia" w:ascii="仿宋" w:hAnsi="仿宋" w:eastAsia="仿宋" w:cs="仿宋"/>
          <w:sz w:val="28"/>
          <w:szCs w:val="28"/>
          <w:lang w:val="en-US" w:eastAsia="zh-CN"/>
        </w:rPr>
        <w:t>0</w:t>
      </w:r>
      <w:r>
        <w:rPr>
          <w:rFonts w:ascii="仿宋" w:hAnsi="仿宋" w:eastAsia="仿宋" w:cs="仿宋"/>
          <w:sz w:val="28"/>
          <w:szCs w:val="28"/>
        </w:rPr>
        <w:t>件，发明授权专利</w:t>
      </w:r>
      <w:r>
        <w:rPr>
          <w:rFonts w:hint="eastAsia" w:ascii="仿宋" w:hAnsi="仿宋" w:eastAsia="仿宋" w:cs="仿宋"/>
          <w:sz w:val="28"/>
          <w:szCs w:val="28"/>
          <w:lang w:val="en-US" w:eastAsia="zh-CN"/>
        </w:rPr>
        <w:t>8</w:t>
      </w:r>
      <w:r>
        <w:rPr>
          <w:rFonts w:ascii="仿宋" w:hAnsi="仿宋" w:eastAsia="仿宋" w:cs="仿宋"/>
          <w:sz w:val="28"/>
          <w:szCs w:val="28"/>
        </w:rPr>
        <w:t>件，实用新型专利</w:t>
      </w:r>
      <w:r>
        <w:rPr>
          <w:rFonts w:hint="eastAsia" w:ascii="仿宋" w:hAnsi="仿宋" w:eastAsia="仿宋" w:cs="仿宋"/>
          <w:sz w:val="28"/>
          <w:szCs w:val="28"/>
          <w:lang w:val="en-US" w:eastAsia="zh-CN"/>
        </w:rPr>
        <w:t>3</w:t>
      </w:r>
      <w:r>
        <w:rPr>
          <w:rFonts w:ascii="仿宋" w:hAnsi="仿宋" w:eastAsia="仿宋" w:cs="仿宋"/>
          <w:sz w:val="28"/>
          <w:szCs w:val="28"/>
        </w:rPr>
        <w:t>件。我校2023年</w:t>
      </w:r>
      <w:r>
        <w:rPr>
          <w:rFonts w:hint="eastAsia" w:ascii="仿宋" w:hAnsi="仿宋" w:eastAsia="仿宋" w:cs="仿宋"/>
          <w:sz w:val="28"/>
          <w:szCs w:val="28"/>
          <w:lang w:eastAsia="zh-CN"/>
        </w:rPr>
        <w:t>第三季度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85.71</w:t>
      </w:r>
      <w:r>
        <w:rPr>
          <w:rFonts w:ascii="仿宋" w:hAnsi="仿宋" w:eastAsia="仿宋" w:cs="仿宋"/>
          <w:sz w:val="28"/>
          <w:szCs w:val="28"/>
        </w:rPr>
        <w:t>%，说明我校专利创新水平较高，研发能力也比较强，具体情况参见图2。</w:t>
      </w:r>
    </w:p>
    <w:p>
      <w:pPr>
        <w:ind w:firstLine="482" w:firstLineChars="200"/>
        <w:jc w:val="center"/>
        <w:rPr>
          <w:rFonts w:ascii="仿宋" w:hAnsi="仿宋" w:eastAsia="仿宋" w:cs="仿宋"/>
          <w:b/>
          <w:bCs/>
          <w:sz w:val="24"/>
        </w:rPr>
      </w:pPr>
    </w:p>
    <w:p>
      <w:pPr>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专利类别分布</w:t>
      </w:r>
    </w:p>
    <w:p>
      <w:pPr>
        <w:ind w:firstLine="482" w:firstLineChars="200"/>
        <w:jc w:val="center"/>
        <w:rPr>
          <w:rFonts w:hint="default" w:ascii="仿宋" w:hAnsi="仿宋" w:eastAsia="仿宋" w:cs="仿宋"/>
          <w:b/>
          <w:bCs/>
          <w:color w:val="000000"/>
          <w:sz w:val="24"/>
          <w:lang w:bidi="ar"/>
        </w:rPr>
      </w:pPr>
    </w:p>
    <w:p>
      <w:pPr>
        <w:ind w:firstLine="420" w:firstLineChars="200"/>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1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outlineLvl w:val="0"/>
        <w:rPr>
          <w:rFonts w:hint="default" w:ascii="黑体" w:hAnsi="黑体" w:eastAsia="黑体" w:cs="黑体"/>
          <w:b/>
          <w:bCs/>
          <w:sz w:val="32"/>
          <w:szCs w:val="32"/>
        </w:rPr>
      </w:pPr>
      <w:bookmarkStart w:id="29" w:name="_Toc12539"/>
    </w:p>
    <w:p>
      <w:pPr>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pPr>
        <w:ind w:firstLine="560" w:firstLineChars="200"/>
        <w:rPr>
          <w:rFonts w:hint="default"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第三季度</w:t>
      </w:r>
      <w:r>
        <w:rPr>
          <w:rFonts w:ascii="仿宋" w:hAnsi="仿宋" w:eastAsia="仿宋" w:cs="仿宋"/>
          <w:sz w:val="28"/>
          <w:szCs w:val="28"/>
        </w:rPr>
        <w:t>我校公布公告的专利学科关系，占比较多的学科有：</w:t>
      </w:r>
      <w:r>
        <w:rPr>
          <w:rFonts w:hint="eastAsia" w:ascii="仿宋" w:hAnsi="仿宋" w:eastAsia="仿宋" w:cs="仿宋"/>
          <w:sz w:val="28"/>
          <w:szCs w:val="28"/>
          <w:lang w:val="en-US" w:eastAsia="zh-CN"/>
        </w:rPr>
        <w:t>计算机软件及计算机技术3件，有机化工、材料科学、</w:t>
      </w:r>
      <w:r>
        <w:rPr>
          <w:rFonts w:ascii="仿宋" w:hAnsi="仿宋" w:eastAsia="仿宋" w:cs="仿宋"/>
          <w:sz w:val="28"/>
          <w:szCs w:val="28"/>
        </w:rPr>
        <w:t>轻工业手工业</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无机化工、</w:t>
      </w:r>
      <w:r>
        <w:rPr>
          <w:rFonts w:ascii="仿宋" w:hAnsi="仿宋" w:eastAsia="仿宋" w:cs="仿宋"/>
          <w:sz w:val="28"/>
          <w:szCs w:val="28"/>
        </w:rPr>
        <w:t>化学</w:t>
      </w:r>
      <w:r>
        <w:rPr>
          <w:rFonts w:hint="eastAsia" w:ascii="仿宋" w:hAnsi="仿宋" w:eastAsia="仿宋" w:cs="仿宋"/>
          <w:sz w:val="28"/>
          <w:szCs w:val="28"/>
          <w:lang w:val="en-US" w:eastAsia="zh-CN"/>
        </w:rPr>
        <w:t>等2</w:t>
      </w:r>
      <w:r>
        <w:rPr>
          <w:rFonts w:ascii="仿宋" w:hAnsi="仿宋" w:eastAsia="仿宋" w:cs="仿宋"/>
          <w:sz w:val="28"/>
          <w:szCs w:val="28"/>
        </w:rPr>
        <w:t>件，具体详情参见图3。</w:t>
      </w: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rPr>
          <w:rFonts w:hint="default" w:ascii="仿宋" w:hAnsi="仿宋" w:eastAsia="仿宋" w:cs="仿宋"/>
          <w:b/>
          <w:bCs/>
          <w:sz w:val="24"/>
        </w:rPr>
      </w:pPr>
    </w:p>
    <w:p>
      <w:pPr>
        <w:ind w:firstLine="1205" w:firstLineChars="500"/>
        <w:rPr>
          <w:rFonts w:ascii="仿宋" w:hAnsi="仿宋" w:eastAsia="仿宋" w:cs="仿宋"/>
          <w:b/>
          <w:bCs/>
          <w:sz w:val="24"/>
        </w:rPr>
      </w:pPr>
    </w:p>
    <w:p>
      <w:pPr>
        <w:ind w:firstLine="1205" w:firstLineChars="500"/>
        <w:rPr>
          <w:rFonts w:ascii="仿宋" w:hAnsi="仿宋" w:eastAsia="仿宋" w:cs="仿宋"/>
          <w:b/>
          <w:bCs/>
          <w:sz w:val="24"/>
        </w:rPr>
      </w:pPr>
    </w:p>
    <w:p>
      <w:pPr>
        <w:rPr>
          <w:rFonts w:ascii="仿宋" w:hAnsi="仿宋" w:eastAsia="仿宋" w:cs="仿宋"/>
          <w:b/>
          <w:bCs/>
          <w:sz w:val="24"/>
        </w:rPr>
      </w:pPr>
    </w:p>
    <w:p>
      <w:pPr>
        <w:ind w:firstLine="1205" w:firstLineChars="500"/>
        <w:rPr>
          <w:rFonts w:hint="eastAsia" w:ascii="仿宋" w:hAnsi="仿宋" w:eastAsia="仿宋" w:cs="仿宋"/>
          <w:b/>
          <w:bCs/>
          <w:color w:val="000000"/>
          <w:sz w:val="24"/>
          <w:lang w:val="en-US" w:eastAsia="zh-CN" w:bidi="ar"/>
        </w:rPr>
      </w:pPr>
      <w:r>
        <w:rPr>
          <w:rFonts w:ascii="仿宋" w:hAnsi="仿宋" w:eastAsia="仿宋" w:cs="仿宋"/>
          <w:b/>
          <w:bCs/>
          <w:sz w:val="24"/>
        </w:rPr>
        <w:t>图3</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专利学科分布</w:t>
      </w:r>
      <w:r>
        <w:rPr>
          <w:rFonts w:hint="eastAsia" w:ascii="仿宋" w:hAnsi="仿宋" w:eastAsia="仿宋" w:cs="仿宋"/>
          <w:b/>
          <w:bCs/>
          <w:color w:val="000000"/>
          <w:sz w:val="24"/>
          <w:lang w:val="en-US" w:eastAsia="zh-CN" w:bidi="ar"/>
        </w:rPr>
        <w:t xml:space="preserve"> </w:t>
      </w:r>
    </w:p>
    <w:p>
      <w:pPr>
        <w:ind w:firstLine="1205" w:firstLineChars="500"/>
        <w:rPr>
          <w:rFonts w:hint="eastAsia" w:ascii="仿宋" w:hAnsi="仿宋" w:eastAsia="仿宋" w:cs="仿宋"/>
          <w:b/>
          <w:bCs/>
          <w:color w:val="000000"/>
          <w:sz w:val="24"/>
          <w:lang w:val="en-US" w:eastAsia="zh-CN" w:bidi="ar"/>
        </w:rPr>
      </w:pPr>
    </w:p>
    <w:p>
      <w:pPr>
        <w:jc w:val="center"/>
        <w:rPr>
          <w:rFonts w:ascii="黑体" w:hAnsi="黑体" w:eastAsia="黑体" w:cs="黑体"/>
          <w:b/>
          <w:bCs/>
          <w:sz w:val="32"/>
          <w:szCs w:val="32"/>
        </w:rPr>
      </w:pPr>
      <w:bookmarkStart w:id="30" w:name="_Toc18240"/>
      <w:r>
        <w:drawing>
          <wp:inline distT="0" distB="0" distL="114300" distR="114300">
            <wp:extent cx="4826000" cy="2743200"/>
            <wp:effectExtent l="4445" t="4445" r="8255" b="14605"/>
            <wp:docPr id="2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4.主题词分析</w:t>
      </w:r>
      <w:bookmarkEnd w:id="30"/>
    </w:p>
    <w:p>
      <w:pPr>
        <w:ind w:firstLine="560" w:firstLineChars="200"/>
        <w:rPr>
          <w:rFonts w:hint="default"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第三季度</w:t>
      </w:r>
      <w:r>
        <w:rPr>
          <w:rFonts w:ascii="仿宋" w:hAnsi="仿宋" w:eastAsia="仿宋" w:cs="仿宋"/>
          <w:sz w:val="28"/>
          <w:szCs w:val="28"/>
        </w:rPr>
        <w:t>我校公布公告的专利主题词，主要主题词中</w:t>
      </w:r>
      <w:r>
        <w:rPr>
          <w:rFonts w:hint="eastAsia" w:ascii="仿宋" w:hAnsi="仿宋" w:eastAsia="仿宋" w:cs="仿宋"/>
          <w:sz w:val="28"/>
          <w:szCs w:val="28"/>
          <w:lang w:val="en-US" w:eastAsia="zh-CN"/>
        </w:rPr>
        <w:t>介电电泳</w:t>
      </w:r>
      <w:r>
        <w:rPr>
          <w:rFonts w:ascii="仿宋" w:hAnsi="仿宋" w:eastAsia="仿宋" w:cs="仿宋"/>
          <w:sz w:val="28"/>
          <w:szCs w:val="28"/>
        </w:rPr>
        <w:t>、</w:t>
      </w:r>
      <w:r>
        <w:rPr>
          <w:rFonts w:hint="eastAsia" w:ascii="仿宋" w:hAnsi="仿宋" w:eastAsia="仿宋" w:cs="仿宋"/>
          <w:sz w:val="28"/>
          <w:szCs w:val="28"/>
          <w:lang w:val="en-US" w:eastAsia="zh-CN"/>
        </w:rPr>
        <w:t>制备方法</w:t>
      </w:r>
      <w:r>
        <w:rPr>
          <w:rFonts w:ascii="仿宋" w:hAnsi="仿宋" w:eastAsia="仿宋" w:cs="仿宋"/>
          <w:sz w:val="28"/>
          <w:szCs w:val="28"/>
        </w:rPr>
        <w:t>等主题词出现频率较高。次要主题词中</w:t>
      </w:r>
      <w:r>
        <w:rPr>
          <w:rFonts w:hint="eastAsia" w:ascii="仿宋" w:hAnsi="仿宋" w:eastAsia="仿宋" w:cs="仿宋"/>
          <w:sz w:val="28"/>
          <w:szCs w:val="28"/>
          <w:lang w:val="en-US" w:eastAsia="zh-CN"/>
        </w:rPr>
        <w:t>电极结构</w:t>
      </w:r>
      <w:r>
        <w:rPr>
          <w:rFonts w:ascii="仿宋" w:hAnsi="仿宋" w:eastAsia="仿宋" w:cs="仿宋"/>
          <w:sz w:val="28"/>
          <w:szCs w:val="28"/>
        </w:rPr>
        <w:t>主题词出现频率较高。下图列举频次较高的主要主题词和次要主题词，具体分布参见图4和图5。</w:t>
      </w:r>
    </w:p>
    <w:p>
      <w:pPr>
        <w:spacing w:line="360" w:lineRule="auto"/>
        <w:jc w:val="center"/>
        <w:rPr>
          <w:rFonts w:hint="default"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主要主题词分布</w:t>
      </w:r>
    </w:p>
    <w:p>
      <w:pPr>
        <w:spacing w:line="360" w:lineRule="auto"/>
        <w:jc w:val="center"/>
        <w:rPr>
          <w:rFonts w:hint="default" w:ascii="仿宋" w:hAnsi="仿宋" w:eastAsia="仿宋" w:cs="仿宋"/>
          <w:b/>
          <w:bCs/>
          <w:color w:val="000000"/>
          <w:sz w:val="24"/>
          <w:lang w:bidi="ar"/>
        </w:rPr>
      </w:pPr>
    </w:p>
    <w:p>
      <w:pPr>
        <w:spacing w:line="360" w:lineRule="auto"/>
        <w:jc w:val="center"/>
        <w:rPr>
          <w:rFonts w:hint="default" w:ascii="仿宋" w:hAnsi="仿宋" w:eastAsia="仿宋" w:cs="仿宋"/>
          <w:b/>
          <w:bCs/>
          <w:sz w:val="24"/>
        </w:rPr>
      </w:pPr>
      <w:r>
        <w:drawing>
          <wp:inline distT="0" distB="0" distL="114300" distR="114300">
            <wp:extent cx="4711700" cy="2590800"/>
            <wp:effectExtent l="4445" t="4445" r="8255" b="14605"/>
            <wp:docPr id="22"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Fonts w:hint="default" w:ascii="仿宋" w:hAnsi="仿宋" w:eastAsia="仿宋" w:cs="仿宋"/>
          <w:b/>
          <w:bCs/>
          <w:sz w:val="24"/>
        </w:rPr>
      </w:pPr>
    </w:p>
    <w:p>
      <w:pPr>
        <w:jc w:val="center"/>
        <w:rPr>
          <w:rFonts w:hint="default" w:ascii="仿宋" w:hAnsi="仿宋" w:eastAsia="仿宋" w:cs="仿宋"/>
          <w:b/>
          <w:bCs/>
          <w:color w:val="000000"/>
          <w:sz w:val="24"/>
          <w:lang w:bidi="ar"/>
        </w:rPr>
      </w:pPr>
      <w:r>
        <w:rPr>
          <w:rFonts w:ascii="仿宋" w:hAnsi="仿宋" w:eastAsia="仿宋" w:cs="仿宋"/>
          <w:b/>
          <w:bCs/>
          <w:sz w:val="24"/>
        </w:rPr>
        <w:t>图5</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次要主题词分布</w:t>
      </w:r>
    </w:p>
    <w:p>
      <w:pPr>
        <w:jc w:val="center"/>
        <w:rPr>
          <w:rFonts w:hint="default" w:ascii="仿宋" w:hAnsi="仿宋" w:eastAsia="仿宋" w:cs="仿宋"/>
          <w:b/>
          <w:bCs/>
          <w:color w:val="000000"/>
          <w:sz w:val="24"/>
          <w:lang w:bidi="ar"/>
        </w:rPr>
      </w:pPr>
    </w:p>
    <w:p>
      <w:pPr>
        <w:jc w:val="center"/>
        <w:rPr>
          <w:rFonts w:hint="default"/>
        </w:rPr>
      </w:pPr>
      <w:r>
        <w:drawing>
          <wp:inline distT="0" distB="0" distL="114300" distR="114300">
            <wp:extent cx="4844415" cy="2686050"/>
            <wp:effectExtent l="4445" t="4445" r="8890" b="14605"/>
            <wp:docPr id="23"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rFonts w:hint="default" w:ascii="仿宋" w:hAnsi="仿宋" w:eastAsia="仿宋" w:cs="仿宋"/>
          <w:b/>
          <w:bCs/>
          <w:color w:val="000000"/>
          <w:sz w:val="24"/>
          <w:lang w:bidi="ar"/>
        </w:rPr>
      </w:pPr>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pPr>
        <w:adjustRightInd/>
        <w:spacing w:line="240" w:lineRule="atLeast"/>
        <w:ind w:firstLine="560" w:firstLineChars="200"/>
        <w:rPr>
          <w:rFonts w:hint="default" w:ascii="仿宋" w:hAnsi="仿宋" w:eastAsia="仿宋" w:cs="仿宋"/>
          <w:sz w:val="28"/>
          <w:szCs w:val="28"/>
        </w:rPr>
      </w:pPr>
      <w:r>
        <w:rPr>
          <w:rFonts w:ascii="仿宋" w:hAnsi="仿宋" w:eastAsia="仿宋" w:cs="仿宋"/>
          <w:sz w:val="28"/>
          <w:szCs w:val="28"/>
        </w:rPr>
        <w:t>综合分析2023年</w:t>
      </w:r>
      <w:r>
        <w:rPr>
          <w:rFonts w:hint="eastAsia" w:ascii="仿宋" w:hAnsi="仿宋" w:eastAsia="仿宋" w:cs="仿宋"/>
          <w:sz w:val="28"/>
          <w:szCs w:val="28"/>
          <w:lang w:eastAsia="zh-CN"/>
        </w:rPr>
        <w:t>第三季度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两</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15</w:t>
      </w:r>
      <w:r>
        <w:rPr>
          <w:rFonts w:hint="default" w:ascii="仿宋" w:hAnsi="仿宋" w:eastAsia="仿宋" w:cs="仿宋"/>
          <w:sz w:val="28"/>
          <w:szCs w:val="28"/>
        </w:rPr>
        <w:t>人</w:t>
      </w:r>
      <w:r>
        <w:rPr>
          <w:rFonts w:ascii="仿宋" w:hAnsi="仿宋" w:eastAsia="仿宋" w:cs="仿宋"/>
          <w:sz w:val="28"/>
          <w:szCs w:val="28"/>
        </w:rPr>
        <w:t>，具体情况参见表2。</w:t>
      </w:r>
    </w:p>
    <w:p>
      <w:pPr>
        <w:adjustRightInd/>
        <w:spacing w:line="240" w:lineRule="atLeast"/>
        <w:jc w:val="center"/>
        <w:rPr>
          <w:rFonts w:hint="default" w:ascii="仿宋" w:hAnsi="仿宋" w:eastAsia="仿宋" w:cs="仿宋"/>
          <w:b/>
          <w:bCs/>
          <w:sz w:val="24"/>
        </w:rPr>
      </w:pPr>
    </w:p>
    <w:p>
      <w:pPr>
        <w:adjustRightInd/>
        <w:spacing w:line="240" w:lineRule="atLeast"/>
        <w:jc w:val="center"/>
        <w:rPr>
          <w:rFonts w:hint="default" w:ascii="仿宋" w:hAnsi="仿宋" w:eastAsia="仿宋" w:cs="仿宋"/>
          <w:b/>
          <w:bCs/>
          <w:sz w:val="24"/>
        </w:rPr>
      </w:pPr>
    </w:p>
    <w:p>
      <w:pPr>
        <w:adjustRightInd/>
        <w:spacing w:line="240" w:lineRule="atLeast"/>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专利发明人统计表</w:t>
      </w:r>
    </w:p>
    <w:p>
      <w:pPr>
        <w:adjustRightInd/>
        <w:spacing w:line="240" w:lineRule="atLeast"/>
        <w:ind w:firstLine="482" w:firstLineChars="200"/>
        <w:jc w:val="center"/>
        <w:rPr>
          <w:rFonts w:hint="default" w:ascii="仿宋" w:hAnsi="仿宋" w:eastAsia="仿宋" w:cs="仿宋"/>
          <w:b/>
          <w:bCs/>
          <w:color w:val="000000"/>
          <w:sz w:val="24"/>
          <w:lang w:bidi="ar"/>
        </w:rPr>
      </w:pP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李旺</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李向丽</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李志新</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val="en-US" w:eastAsia="zh-CN" w:bidi="ar"/>
              </w:rPr>
              <w:t>10</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马振海</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马德强</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1</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吴同垒</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史秋梅</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2</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武春成</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杨名超</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3</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谢洋</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张星</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4</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杨凡</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高桂生</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15</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张志强</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bookmarkStart w:id="32" w:name="_Toc20469"/>
            <w:bookmarkStart w:id="33" w:name="_Toc16727"/>
            <w:bookmarkStart w:id="34" w:name="_Toc6690"/>
            <w:r>
              <w:rPr>
                <w:rFonts w:hint="eastAsia" w:ascii="仿宋" w:hAnsi="仿宋" w:eastAsia="仿宋" w:cs="仿宋"/>
                <w:color w:val="000000"/>
                <w:sz w:val="24"/>
                <w:lang w:val="en-US" w:eastAsia="zh-CN" w:bidi="ar"/>
              </w:rPr>
              <w:t>8</w:t>
            </w:r>
          </w:p>
        </w:tc>
        <w:tc>
          <w:tcPr>
            <w:tcW w:w="1636"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郭浩</w:t>
            </w:r>
          </w:p>
        </w:tc>
        <w:tc>
          <w:tcPr>
            <w:tcW w:w="1395"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p>
        </w:tc>
        <w:tc>
          <w:tcPr>
            <w:tcW w:w="164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p>
        </w:tc>
        <w:tc>
          <w:tcPr>
            <w:tcW w:w="139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p>
        </w:tc>
      </w:tr>
    </w:tbl>
    <w:p>
      <w:pPr>
        <w:pStyle w:val="14"/>
        <w:spacing w:before="156" w:beforeLines="50" w:after="156" w:afterLines="50" w:line="432" w:lineRule="auto"/>
        <w:ind w:firstLine="0" w:firstLineChars="0"/>
        <w:outlineLvl w:val="0"/>
        <w:rPr>
          <w:rFonts w:ascii="黑体" w:hAnsi="黑体" w:eastAsia="黑体" w:cs="黑体"/>
          <w:b/>
          <w:bCs/>
          <w:kern w:val="2"/>
          <w:sz w:val="32"/>
          <w:szCs w:val="32"/>
        </w:rPr>
      </w:pPr>
    </w:p>
    <w:p>
      <w:pPr>
        <w:pStyle w:val="14"/>
        <w:spacing w:before="156" w:beforeLines="50" w:after="156" w:afterLines="50" w:line="432" w:lineRule="auto"/>
        <w:ind w:firstLine="0" w:firstLineChars="0"/>
        <w:outlineLvl w:val="0"/>
        <w:rPr>
          <w:rFonts w:hint="default" w:ascii="黑体" w:hAnsi="黑体" w:eastAsia="黑体" w:cs="黑体"/>
          <w:b/>
          <w:bCs/>
          <w:kern w:val="2"/>
          <w:sz w:val="32"/>
          <w:szCs w:val="32"/>
        </w:rPr>
      </w:pPr>
      <w:r>
        <w:rPr>
          <w:rFonts w:ascii="黑体" w:hAnsi="黑体" w:eastAsia="黑体" w:cs="黑体"/>
          <w:b/>
          <w:bCs/>
          <w:kern w:val="2"/>
          <w:sz w:val="32"/>
          <w:szCs w:val="32"/>
        </w:rPr>
        <w:t>6.技术领域与产业构成</w:t>
      </w:r>
      <w:bookmarkEnd w:id="32"/>
      <w:bookmarkEnd w:id="33"/>
      <w:r>
        <w:rPr>
          <w:rFonts w:ascii="黑体" w:hAnsi="黑体" w:eastAsia="黑体" w:cs="黑体"/>
          <w:b/>
          <w:bCs/>
          <w:kern w:val="2"/>
          <w:sz w:val="32"/>
          <w:szCs w:val="32"/>
        </w:rPr>
        <w:t>分析</w:t>
      </w:r>
      <w:bookmarkEnd w:id="34"/>
    </w:p>
    <w:p>
      <w:pPr>
        <w:pStyle w:val="7"/>
        <w:spacing w:before="0" w:beforeAutospacing="0" w:after="0" w:afterAutospacing="0" w:line="285" w:lineRule="atLeast"/>
        <w:ind w:firstLine="560" w:firstLineChars="200"/>
        <w:rPr>
          <w:rFonts w:hint="default" w:ascii="仿宋" w:hAnsi="仿宋" w:eastAsia="仿宋"/>
          <w:b/>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第三季度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ascii="仿宋" w:hAnsi="仿宋" w:eastAsia="仿宋"/>
          <w:color w:val="333333"/>
          <w:sz w:val="28"/>
          <w:shd w:val="clear" w:color="auto" w:fill="FFFFFF"/>
        </w:rPr>
        <w:t>A01（农业；林业；畜牧业；狩猎；诱捕；捕鱼）、</w:t>
      </w:r>
      <w:r>
        <w:rPr>
          <w:rFonts w:hint="eastAsia" w:ascii="仿宋" w:hAnsi="仿宋" w:eastAsia="仿宋"/>
          <w:color w:val="333333"/>
          <w:sz w:val="28"/>
          <w:shd w:val="clear" w:color="auto" w:fill="FFFFFF"/>
          <w:lang w:val="en-US" w:eastAsia="zh-CN"/>
        </w:rPr>
        <w:t>B01（一般的物理或化学的方法或装置）、A61（医学或兽医学；卫生学）、C12（生物化学；啤酒；烈性酒；果汁酒；醋；微生物学；酶学；突变或遗传工程）、G06（计算；推算或计数）</w:t>
      </w:r>
      <w:r>
        <w:rPr>
          <w:rFonts w:ascii="仿宋" w:hAnsi="仿宋" w:eastAsia="仿宋"/>
          <w:color w:val="333333"/>
          <w:sz w:val="28"/>
          <w:shd w:val="clear" w:color="auto" w:fill="FFFFFF"/>
        </w:rPr>
        <w:t>等，详情参见图6。</w:t>
      </w:r>
    </w:p>
    <w:p>
      <w:pPr>
        <w:pStyle w:val="14"/>
        <w:spacing w:line="480" w:lineRule="auto"/>
        <w:ind w:firstLine="0" w:firstLineChars="0"/>
        <w:jc w:val="center"/>
        <w:rPr>
          <w:rFonts w:hint="default" w:ascii="仿宋" w:hAnsi="仿宋" w:eastAsia="仿宋"/>
          <w:b/>
          <w:sz w:val="24"/>
        </w:rPr>
      </w:pPr>
      <w:r>
        <w:rPr>
          <w:rFonts w:ascii="仿宋" w:hAnsi="仿宋" w:eastAsia="仿宋"/>
          <w:b/>
          <w:sz w:val="24"/>
        </w:rPr>
        <w:t>图6：河北科技师范学院2023年</w:t>
      </w:r>
      <w:r>
        <w:rPr>
          <w:rFonts w:hint="eastAsia" w:ascii="仿宋" w:hAnsi="仿宋" w:eastAsia="仿宋"/>
          <w:b/>
          <w:sz w:val="24"/>
          <w:lang w:eastAsia="zh-CN"/>
        </w:rPr>
        <w:t>第三季度</w:t>
      </w:r>
      <w:r>
        <w:rPr>
          <w:rFonts w:ascii="仿宋" w:hAnsi="仿宋" w:eastAsia="仿宋"/>
          <w:b/>
          <w:sz w:val="24"/>
        </w:rPr>
        <w:t>专利技术领域与产业构成分布</w:t>
      </w:r>
    </w:p>
    <w:p>
      <w:pPr>
        <w:jc w:val="center"/>
        <w:rPr>
          <w:rFonts w:hint="default"/>
        </w:rPr>
      </w:pPr>
      <w:r>
        <w:drawing>
          <wp:inline distT="0" distB="0" distL="114300" distR="114300">
            <wp:extent cx="4826000" cy="2743200"/>
            <wp:effectExtent l="4445" t="4445" r="8255" b="14605"/>
            <wp:docPr id="2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hint="default"/>
        </w:rPr>
      </w:pPr>
    </w:p>
    <w:p>
      <w:pPr>
        <w:outlineLvl w:val="0"/>
        <w:rPr>
          <w:rFonts w:hint="default" w:ascii="黑体" w:hAnsi="黑体" w:eastAsia="黑体" w:cs="黑体"/>
          <w:b/>
          <w:bCs/>
          <w:sz w:val="32"/>
          <w:szCs w:val="32"/>
        </w:rPr>
      </w:pPr>
      <w:bookmarkStart w:id="35" w:name="_Toc23978"/>
      <w:r>
        <w:rPr>
          <w:rFonts w:ascii="黑体" w:hAnsi="黑体" w:eastAsia="黑体" w:cs="黑体"/>
          <w:b/>
          <w:bCs/>
          <w:sz w:val="32"/>
          <w:szCs w:val="32"/>
        </w:rPr>
        <w:t>7.申请机构分析</w:t>
      </w:r>
      <w:bookmarkEnd w:id="35"/>
    </w:p>
    <w:p>
      <w:pPr>
        <w:ind w:firstLine="560" w:firstLineChars="200"/>
        <w:rPr>
          <w:rFonts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第三季度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17</w:t>
      </w:r>
      <w:r>
        <w:rPr>
          <w:rFonts w:ascii="仿宋" w:hAnsi="仿宋" w:eastAsia="仿宋" w:cs="仿宋"/>
          <w:sz w:val="28"/>
          <w:szCs w:val="28"/>
        </w:rPr>
        <w:t>件，占比</w:t>
      </w:r>
      <w:r>
        <w:rPr>
          <w:rFonts w:hint="eastAsia" w:ascii="仿宋" w:hAnsi="仿宋" w:eastAsia="仿宋" w:cs="仿宋"/>
          <w:sz w:val="28"/>
          <w:szCs w:val="28"/>
          <w:lang w:val="en-US" w:eastAsia="zh-CN"/>
        </w:rPr>
        <w:t>80.95</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4</w:t>
      </w:r>
      <w:r>
        <w:rPr>
          <w:rFonts w:ascii="仿宋" w:hAnsi="仿宋" w:eastAsia="仿宋" w:cs="仿宋"/>
          <w:sz w:val="28"/>
          <w:szCs w:val="28"/>
        </w:rPr>
        <w:t>件，占比</w:t>
      </w:r>
      <w:r>
        <w:rPr>
          <w:rFonts w:hint="eastAsia" w:ascii="仿宋" w:hAnsi="仿宋" w:eastAsia="仿宋" w:cs="仿宋"/>
          <w:sz w:val="28"/>
          <w:szCs w:val="28"/>
          <w:lang w:val="en-US" w:eastAsia="zh-CN"/>
        </w:rPr>
        <w:t>19.05</w:t>
      </w:r>
      <w:r>
        <w:rPr>
          <w:rFonts w:ascii="仿宋" w:hAnsi="仿宋" w:eastAsia="仿宋" w:cs="仿宋"/>
          <w:sz w:val="28"/>
          <w:szCs w:val="28"/>
        </w:rPr>
        <w:t>%；具体分布参见图7。</w:t>
      </w:r>
    </w:p>
    <w:p>
      <w:pPr>
        <w:spacing w:line="360" w:lineRule="auto"/>
        <w:jc w:val="center"/>
        <w:rPr>
          <w:rFonts w:hint="default" w:ascii="仿宋" w:hAnsi="仿宋" w:eastAsia="仿宋" w:cs="仿宋"/>
          <w:b/>
          <w:bCs/>
          <w:color w:val="000000"/>
          <w:sz w:val="24"/>
          <w:lang w:bidi="ar"/>
        </w:rPr>
      </w:pPr>
      <w:r>
        <w:rPr>
          <w:rFonts w:ascii="仿宋" w:hAnsi="仿宋" w:eastAsia="仿宋" w:cs="仿宋"/>
          <w:b/>
          <w:bCs/>
          <w:sz w:val="24"/>
        </w:rPr>
        <w:t>图7</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专利申请机构分布</w:t>
      </w:r>
    </w:p>
    <w:p>
      <w:pPr>
        <w:spacing w:line="360" w:lineRule="auto"/>
        <w:jc w:val="center"/>
        <w:rPr>
          <w:rFonts w:hint="default" w:ascii="仿宋" w:hAnsi="仿宋" w:eastAsia="仿宋" w:cs="仿宋"/>
          <w:b/>
          <w:bCs/>
          <w:color w:val="000000"/>
          <w:sz w:val="24"/>
          <w:lang w:bidi="ar"/>
        </w:rPr>
      </w:pPr>
      <w:r>
        <w:drawing>
          <wp:inline distT="0" distB="0" distL="114300" distR="114300">
            <wp:extent cx="4826000" cy="2743200"/>
            <wp:effectExtent l="4445" t="4445" r="8255" b="14605"/>
            <wp:docPr id="2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hint="default" w:ascii="仿宋" w:hAnsi="仿宋" w:eastAsia="仿宋" w:cs="仿宋"/>
          <w:b/>
          <w:bCs/>
          <w:color w:val="000000"/>
          <w:sz w:val="24"/>
          <w:lang w:bidi="ar"/>
        </w:rPr>
      </w:pPr>
    </w:p>
    <w:p>
      <w:pPr>
        <w:outlineLvl w:val="0"/>
        <w:rPr>
          <w:rFonts w:hint="default" w:ascii="黑体" w:hAnsi="黑体" w:eastAsia="黑体" w:cs="黑体"/>
          <w:b/>
          <w:bCs/>
          <w:sz w:val="32"/>
          <w:szCs w:val="32"/>
        </w:rPr>
      </w:pPr>
      <w:bookmarkStart w:id="36" w:name="_Toc29"/>
    </w:p>
    <w:p>
      <w:pPr>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综合分析2023年</w:t>
      </w:r>
      <w:r>
        <w:rPr>
          <w:rFonts w:hint="eastAsia" w:ascii="仿宋" w:hAnsi="仿宋" w:eastAsia="仿宋" w:cs="仿宋"/>
          <w:sz w:val="28"/>
          <w:szCs w:val="28"/>
          <w:lang w:eastAsia="zh-CN"/>
        </w:rPr>
        <w:t>第三季度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21</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13</w:t>
      </w:r>
      <w:r>
        <w:rPr>
          <w:rFonts w:ascii="仿宋" w:hAnsi="仿宋" w:eastAsia="仿宋" w:cs="仿宋"/>
          <w:sz w:val="28"/>
          <w:szCs w:val="28"/>
        </w:rPr>
        <w:t>家，其中</w:t>
      </w:r>
      <w:r>
        <w:rPr>
          <w:rFonts w:hint="eastAsia" w:ascii="仿宋" w:hAnsi="仿宋" w:eastAsia="仿宋" w:cs="仿宋"/>
          <w:sz w:val="28"/>
          <w:szCs w:val="28"/>
        </w:rPr>
        <w:t>北京慕达星云知识产权代理事务所</w:t>
      </w:r>
      <w:r>
        <w:rPr>
          <w:rFonts w:ascii="仿宋" w:hAnsi="仿宋" w:eastAsia="仿宋" w:cs="仿宋"/>
          <w:sz w:val="28"/>
          <w:szCs w:val="28"/>
        </w:rPr>
        <w:t>、</w:t>
      </w:r>
      <w:r>
        <w:rPr>
          <w:rFonts w:hint="eastAsia" w:ascii="仿宋" w:hAnsi="仿宋" w:eastAsia="仿宋" w:cs="仿宋"/>
          <w:sz w:val="28"/>
          <w:szCs w:val="28"/>
        </w:rPr>
        <w:t>深圳中圳知识产权代理事务所</w:t>
      </w:r>
      <w:r>
        <w:rPr>
          <w:rFonts w:ascii="仿宋" w:hAnsi="仿宋" w:eastAsia="仿宋" w:cs="仿宋"/>
          <w:sz w:val="28"/>
          <w:szCs w:val="28"/>
        </w:rPr>
        <w:t>、</w:t>
      </w:r>
      <w:r>
        <w:rPr>
          <w:rFonts w:hint="eastAsia" w:ascii="仿宋" w:hAnsi="仿宋" w:eastAsia="仿宋" w:cs="仿宋"/>
          <w:sz w:val="28"/>
          <w:szCs w:val="28"/>
        </w:rPr>
        <w:t>北京千慕专利代理事务所</w:t>
      </w:r>
      <w:r>
        <w:rPr>
          <w:rFonts w:hint="eastAsia" w:ascii="仿宋" w:hAnsi="仿宋" w:eastAsia="仿宋" w:cs="仿宋"/>
          <w:sz w:val="28"/>
          <w:szCs w:val="28"/>
          <w:lang w:eastAsia="zh-CN"/>
        </w:rPr>
        <w:t>、北京睿智保诚专利代理事务所</w:t>
      </w:r>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pPr>
        <w:spacing w:line="48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第三季度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4</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深圳中圳知识产权代理事务所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北京千慕专利代理事务所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北京睿智保诚专利代理事务所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bl>
    <w:p>
      <w:pPr>
        <w:outlineLvl w:val="0"/>
        <w:rPr>
          <w:rFonts w:hint="default" w:ascii="黑体" w:hAnsi="黑体" w:eastAsia="黑体" w:cs="黑体"/>
          <w:b/>
          <w:bCs/>
          <w:sz w:val="32"/>
          <w:szCs w:val="32"/>
        </w:rPr>
      </w:pPr>
      <w:bookmarkStart w:id="37" w:name="_Toc17108"/>
    </w:p>
    <w:p>
      <w:pPr>
        <w:outlineLvl w:val="0"/>
        <w:rPr>
          <w:rFonts w:ascii="黑体" w:hAnsi="黑体" w:eastAsia="黑体" w:cs="黑体"/>
          <w:b/>
          <w:bCs/>
          <w:sz w:val="32"/>
          <w:szCs w:val="32"/>
        </w:rPr>
      </w:pPr>
    </w:p>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综上，本报告分析了2023年</w:t>
      </w:r>
      <w:r>
        <w:rPr>
          <w:rFonts w:hint="eastAsia" w:ascii="仿宋" w:hAnsi="仿宋" w:eastAsia="仿宋" w:cs="仿宋"/>
          <w:sz w:val="28"/>
          <w:szCs w:val="28"/>
          <w:lang w:eastAsia="zh-CN"/>
        </w:rPr>
        <w:t>第三季度</w:t>
      </w:r>
      <w:r>
        <w:rPr>
          <w:rFonts w:ascii="仿宋" w:hAnsi="仿宋" w:eastAsia="仿宋" w:cs="仿宋"/>
          <w:sz w:val="28"/>
          <w:szCs w:val="28"/>
        </w:rPr>
        <w:t>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w:t>
      </w:r>
      <w:bookmarkStart w:id="38" w:name="_GoBack"/>
      <w:bookmarkEnd w:id="38"/>
      <w:r>
        <w:rPr>
          <w:rFonts w:ascii="仿宋" w:hAnsi="仿宋" w:eastAsia="仿宋" w:cs="仿宋"/>
          <w:sz w:val="28"/>
          <w:szCs w:val="28"/>
        </w:rPr>
        <w:t>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172A27"/>
    <w:rsid w:val="00172A27"/>
    <w:rsid w:val="003C5849"/>
    <w:rsid w:val="00720899"/>
    <w:rsid w:val="007C7DCA"/>
    <w:rsid w:val="00C96041"/>
    <w:rsid w:val="0B6D1B6C"/>
    <w:rsid w:val="0CC56CA9"/>
    <w:rsid w:val="0D6D52D1"/>
    <w:rsid w:val="275A53D4"/>
    <w:rsid w:val="289B5F52"/>
    <w:rsid w:val="2F44466F"/>
    <w:rsid w:val="36755FC0"/>
    <w:rsid w:val="3B380AF6"/>
    <w:rsid w:val="456B524E"/>
    <w:rsid w:val="5BDB3ECE"/>
    <w:rsid w:val="6D77388D"/>
    <w:rsid w:val="78FA3A9C"/>
    <w:rsid w:val="79BF69E1"/>
    <w:rsid w:val="7B757402"/>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unhideWhenUsed/>
    <w:uiPriority w:val="99"/>
    <w:pPr>
      <w:tabs>
        <w:tab w:val="center" w:pos="4153"/>
        <w:tab w:val="right" w:pos="8306"/>
      </w:tabs>
      <w:snapToGrid w:val="0"/>
      <w:spacing w:line="240" w:lineRule="atLeast"/>
      <w:jc w:val="left"/>
    </w:pPr>
    <w:rPr>
      <w:sz w:val="18"/>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unhideWhenUsed/>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unhideWhenUsed/>
    <w:locked/>
    <w:uiPriority w:val="99"/>
    <w:rPr>
      <w:rFonts w:hint="eastAsia" w:ascii="Times New Roman" w:hAnsi="Times New Roman" w:eastAsia="宋体"/>
      <w:sz w:val="18"/>
      <w:szCs w:val="24"/>
    </w:rPr>
  </w:style>
  <w:style w:type="character" w:customStyle="1" w:styleId="17">
    <w:name w:val="无间隔 Char"/>
    <w:link w:val="15"/>
    <w:unhideWhenUsed/>
    <w:locked/>
    <w:uiPriority w:val="1"/>
    <w:rPr>
      <w:rFonts w:hint="default"/>
      <w:sz w:val="22"/>
      <w:szCs w:val="24"/>
    </w:rPr>
  </w:style>
  <w:style w:type="character" w:customStyle="1" w:styleId="18">
    <w:name w:val="页脚 Char"/>
    <w:basedOn w:val="9"/>
    <w:link w:val="3"/>
    <w:unhideWhenUsed/>
    <w:locked/>
    <w:uiPriority w:val="99"/>
    <w:rPr>
      <w:rFonts w:hint="eastAsia" w:ascii="Times New Roman" w:hAnsi="Times New Roman" w:eastAsia="宋体"/>
      <w:sz w:val="18"/>
      <w:szCs w:val="24"/>
    </w:rPr>
  </w:style>
  <w:style w:type="character" w:customStyle="1" w:styleId="19">
    <w:name w:val="正文文本 Char"/>
    <w:basedOn w:val="9"/>
    <w:link w:val="2"/>
    <w:uiPriority w:val="1"/>
    <w:rPr>
      <w:rFonts w:ascii="微软雅黑" w:hAnsi="微软雅黑" w:eastAsia="微软雅黑"/>
      <w:sz w:val="41"/>
      <w:szCs w:val="24"/>
    </w:rPr>
  </w:style>
  <w:style w:type="character" w:customStyle="1" w:styleId="20">
    <w:name w:val="font21"/>
    <w:basedOn w:val="9"/>
    <w:uiPriority w:val="0"/>
    <w:rPr>
      <w:rFonts w:hint="eastAsia" w:ascii="仿宋" w:hAnsi="仿宋" w:eastAsia="仿宋" w:cs="仿宋"/>
      <w:b/>
      <w:bCs/>
      <w:color w:val="FFFFFF"/>
      <w:sz w:val="24"/>
      <w:szCs w:val="24"/>
      <w:u w:val="none"/>
    </w:rPr>
  </w:style>
  <w:style w:type="character" w:customStyle="1" w:styleId="21">
    <w:name w:val="font01"/>
    <w:basedOn w:val="9"/>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26085;&#24120;&#24037;&#20316;--&#19987;&#21033;&#20998;&#26512;&#25253;&#21578;\2023&#31532;&#19977;&#23395;&#24230;&#19987;&#21033;&#24773;&#20917;&#32479;&#35745;\CNKI-2023&#31532;&#19977;&#23395;&#24230;&#19987;&#21033;&#25968;&#2545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6085;&#24120;&#24037;&#20316;--&#19987;&#21033;&#20998;&#26512;&#25253;&#21578;\2023&#31532;&#19977;&#23395;&#24230;&#19987;&#21033;&#24773;&#20917;&#32479;&#35745;\CNKI-2023&#31532;&#19977;&#23395;&#24230;&#19987;&#21033;&#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6085;&#24120;&#24037;&#20316;--&#19987;&#21033;&#20998;&#26512;&#25253;&#21578;\2023&#31532;&#19977;&#23395;&#24230;&#19987;&#21033;&#24773;&#20917;&#32479;&#35745;\CNKI-2023&#31532;&#19977;&#23395;&#24230;&#19987;&#21033;&#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6085;&#24120;&#24037;&#20316;--&#19987;&#21033;&#20998;&#26512;&#25253;&#21578;\2023&#31532;&#19977;&#23395;&#24230;&#19987;&#21033;&#24773;&#20917;&#32479;&#35745;\CNKI-2023&#31532;&#19977;&#23395;&#24230;&#19987;&#21033;&#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6085;&#24120;&#24037;&#20316;--&#19987;&#21033;&#20998;&#26512;&#25253;&#21578;\2023&#31532;&#19977;&#23395;&#24230;&#19987;&#21033;&#24773;&#20917;&#32479;&#35745;\CNKI-2023&#31532;&#19977;&#23395;&#24230;&#19987;&#21033;&#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6085;&#24120;&#24037;&#20316;--&#19987;&#21033;&#20998;&#26512;&#25253;&#21578;\2023&#31532;&#19977;&#23395;&#24230;&#19987;&#21033;&#24773;&#20917;&#32479;&#35745;\CNKI-2023&#31532;&#19977;&#23395;&#24230;&#19987;&#21033;&#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6085;&#24120;&#24037;&#20316;--&#19987;&#21033;&#20998;&#26512;&#25253;&#21578;\2023&#31532;&#19977;&#23395;&#24230;&#19987;&#21033;&#24773;&#20917;&#32479;&#35745;\CNKI-2023&#31532;&#19977;&#23395;&#24230;&#19987;&#2103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专利总体趋势</a:t>
            </a:r>
            <a:endParaRPr b="0"/>
          </a:p>
        </c:rich>
      </c:tx>
      <c:layout>
        <c:manualLayout>
          <c:xMode val="edge"/>
          <c:yMode val="edge"/>
          <c:x val="0.383289473684211"/>
          <c:y val="0.0277777777777778"/>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'[CNKI-2023第三季度专利数据.xls]1专利数量'!$A$2:$A$4</c:f>
              <c:numCache>
                <c:formatCode>yyyy"年"m"月"</c:formatCode>
                <c:ptCount val="3"/>
                <c:pt idx="0" c:formatCode="yyyy&quot;年&quot;m&quot;月&quot;">
                  <c:v>45108</c:v>
                </c:pt>
                <c:pt idx="1" c:formatCode="yyyy&quot;年&quot;m&quot;月&quot;">
                  <c:v>45139</c:v>
                </c:pt>
                <c:pt idx="2" c:formatCode="yyyy&quot;年&quot;m&quot;月&quot;">
                  <c:v>45170</c:v>
                </c:pt>
              </c:numCache>
            </c:numRef>
          </c:cat>
          <c:val>
            <c:numRef>
              <c:f>'[CNKI-2023第三季度专利数据.xls]1专利数量'!$B$2:$B$4</c:f>
              <c:numCache>
                <c:formatCode>General</c:formatCode>
                <c:ptCount val="3"/>
                <c:pt idx="0">
                  <c:v>8</c:v>
                </c:pt>
                <c:pt idx="1">
                  <c:v>10</c:v>
                </c:pt>
                <c:pt idx="2">
                  <c:v>3</c:v>
                </c:pt>
              </c:numCache>
            </c:numRef>
          </c:val>
          <c:smooth val="0"/>
        </c:ser>
        <c:dLbls>
          <c:showLegendKey val="0"/>
          <c:showVal val="1"/>
          <c:showCatName val="0"/>
          <c:showSerName val="0"/>
          <c:showPercent val="0"/>
          <c:showBubbleSize val="0"/>
        </c:dLbls>
        <c:marker val="0"/>
        <c:smooth val="0"/>
        <c:axId val="978911118"/>
        <c:axId val="561342383"/>
      </c:lineChart>
      <c:dateAx>
        <c:axId val="97891111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1342383"/>
        <c:crosses val="autoZero"/>
        <c:auto val="1"/>
        <c:lblOffset val="100"/>
        <c:baseTimeUnit val="months"/>
      </c:dateAx>
      <c:valAx>
        <c:axId val="561342383"/>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91111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专利类别</a:t>
            </a:r>
            <a:endParaRPr b="0"/>
          </a:p>
        </c:rich>
      </c:tx>
      <c:layout/>
      <c:overlay val="0"/>
      <c:spPr>
        <a:noFill/>
        <a:ln>
          <a:noFill/>
        </a:ln>
        <a:effectLst/>
      </c:spPr>
    </c:title>
    <c:autoTitleDeleted val="0"/>
    <c:plotArea>
      <c:layout/>
      <c:doughnutChart>
        <c:varyColors val="1"/>
        <c:ser>
          <c:idx val="0"/>
          <c:order val="0"/>
          <c:tx>
            <c:strRef>
              <c:f>'[CNKI-2023第三季度专利数据.xlsx]2专利类别'!$E$1</c:f>
              <c:strCache>
                <c:ptCount val="1"/>
                <c:pt idx="0">
                  <c:v>专利数</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'[CNKI-2023第三季度专利数据.xlsx]2专利类别'!$D$2:$D$4</c:f>
              <c:strCache>
                <c:ptCount val="3"/>
                <c:pt idx="0">
                  <c:v>发明公开 </c:v>
                </c:pt>
                <c:pt idx="1">
                  <c:v>发明授权 </c:v>
                </c:pt>
                <c:pt idx="2">
                  <c:v>实用新型 </c:v>
                </c:pt>
              </c:strCache>
            </c:strRef>
          </c:cat>
          <c:val>
            <c:numRef>
              <c:f>'[CNKI-2023第三季度专利数据.xlsx]2专利类别'!$E$2:$E$4</c:f>
              <c:numCache>
                <c:formatCode>@</c:formatCode>
                <c:ptCount val="3"/>
                <c:pt idx="0">
                  <c:v>10</c:v>
                </c:pt>
                <c:pt idx="1">
                  <c:v>8</c:v>
                </c:pt>
                <c:pt idx="2">
                  <c:v>3</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学科分布</a:t>
            </a:r>
            <a:endParaRPr b="0"/>
          </a:p>
        </c:rich>
      </c:tx>
      <c:layout>
        <c:manualLayout>
          <c:xMode val="edge"/>
          <c:yMode val="edge"/>
          <c:x val="0.426315789473684"/>
          <c:y val="0.0381944444444444"/>
        </c:manualLayout>
      </c:layout>
      <c:overlay val="0"/>
      <c:spPr>
        <a:noFill/>
        <a:ln>
          <a:noFill/>
        </a:ln>
        <a:effectLst/>
      </c:spPr>
    </c:title>
    <c:autoTitleDeleted val="0"/>
    <c:plotArea>
      <c:layout/>
      <c:pieChart>
        <c:varyColors val="1"/>
        <c:ser>
          <c:idx val="0"/>
          <c:order val="0"/>
          <c:tx>
            <c:strRef>
              <c:f>'[CNKI-2023第三季度专利数据.xlsx]3学科分析'!$F$1</c:f>
              <c:strCache>
                <c:ptCount val="1"/>
                <c:pt idx="0">
                  <c:v>专利数</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'[CNKI-2023第三季度专利数据.xlsx]3学科分析'!$E$2:$E$19</c:f>
              <c:strCache>
                <c:ptCount val="18"/>
                <c:pt idx="0">
                  <c:v>计算机软件及计算机技术</c:v>
                </c:pt>
                <c:pt idx="1">
                  <c:v>有机化工</c:v>
                </c:pt>
                <c:pt idx="2">
                  <c:v>材料科学</c:v>
                </c:pt>
                <c:pt idx="3">
                  <c:v>轻工业手工业</c:v>
                </c:pt>
                <c:pt idx="4">
                  <c:v>无机化工</c:v>
                </c:pt>
                <c:pt idx="5">
                  <c:v>化学</c:v>
                </c:pt>
                <c:pt idx="6">
                  <c:v>生物学</c:v>
                </c:pt>
                <c:pt idx="7">
                  <c:v>农业工程</c:v>
                </c:pt>
                <c:pt idx="8">
                  <c:v>农艺学</c:v>
                </c:pt>
                <c:pt idx="9">
                  <c:v>药学</c:v>
                </c:pt>
                <c:pt idx="10">
                  <c:v>农作物</c:v>
                </c:pt>
                <c:pt idx="11">
                  <c:v>公路与水路运输</c:v>
                </c:pt>
                <c:pt idx="12">
                  <c:v>植物保护</c:v>
                </c:pt>
                <c:pt idx="13">
                  <c:v>中药学</c:v>
                </c:pt>
                <c:pt idx="14">
                  <c:v>蚕蜂与野生动物保护</c:v>
                </c:pt>
                <c:pt idx="15">
                  <c:v>林业</c:v>
                </c:pt>
                <c:pt idx="16">
                  <c:v>园艺</c:v>
                </c:pt>
                <c:pt idx="17">
                  <c:v>无线电电子学</c:v>
                </c:pt>
              </c:strCache>
            </c:strRef>
          </c:cat>
          <c:val>
            <c:numRef>
              <c:f>'[CNKI-2023第三季度专利数据.xlsx]3学科分析'!$F$2:$F$19</c:f>
              <c:numCache>
                <c:formatCode>General</c:formatCode>
                <c:ptCount val="18"/>
                <c:pt idx="0">
                  <c:v>3</c:v>
                </c:pt>
                <c:pt idx="1">
                  <c:v>2</c:v>
                </c:pt>
                <c:pt idx="2">
                  <c:v>2</c:v>
                </c:pt>
                <c:pt idx="3">
                  <c:v>2</c:v>
                </c:pt>
                <c:pt idx="4">
                  <c:v>2</c:v>
                </c:pt>
                <c:pt idx="5">
                  <c:v>2</c:v>
                </c:pt>
                <c:pt idx="6">
                  <c:v>2</c:v>
                </c:pt>
                <c:pt idx="7">
                  <c:v>2</c:v>
                </c:pt>
                <c:pt idx="8">
                  <c:v>2</c:v>
                </c:pt>
                <c:pt idx="9">
                  <c:v>2</c:v>
                </c:pt>
                <c:pt idx="10">
                  <c:v>1</c:v>
                </c:pt>
                <c:pt idx="11">
                  <c:v>1</c:v>
                </c:pt>
                <c:pt idx="12">
                  <c:v>1</c:v>
                </c:pt>
                <c:pt idx="13">
                  <c:v>1</c:v>
                </c:pt>
                <c:pt idx="14">
                  <c:v>1</c:v>
                </c:pt>
                <c:pt idx="15">
                  <c:v>1</c:v>
                </c:pt>
                <c:pt idx="16">
                  <c:v>1</c:v>
                </c:pt>
                <c:pt idx="17">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主要主题分布</a:t>
            </a:r>
            <a:endParaRPr b="0"/>
          </a:p>
        </c:rich>
      </c:tx>
      <c:layout/>
      <c:overlay val="0"/>
      <c:spPr>
        <a:noFill/>
        <a:ln>
          <a:noFill/>
        </a:ln>
        <a:effectLst/>
      </c:spPr>
    </c:title>
    <c:autoTitleDeleted val="0"/>
    <c:plotArea>
      <c:layout/>
      <c:barChart>
        <c:barDir val="col"/>
        <c:grouping val="clustered"/>
        <c:varyColors val="0"/>
        <c:ser>
          <c:idx val="0"/>
          <c:order val="0"/>
          <c:tx>
            <c:strRef>
              <c:f>'[CNKI-2023第三季度专利数据.xlsx]4主题词分析'!$F$1</c:f>
              <c:strCache>
                <c:ptCount val="1"/>
                <c:pt idx="0">
                  <c:v>专利数</c:v>
                </c:pt>
              </c:strCache>
            </c:strRef>
          </c:tx>
          <c:spPr>
            <a:solidFill>
              <a:schemeClr val="accent1"/>
            </a:solidFill>
            <a:ln>
              <a:noFill/>
            </a:ln>
            <a:effectLst/>
          </c:spPr>
          <c:invertIfNegative val="0"/>
          <c:dLbls>
            <c:delete val="1"/>
          </c:dLbls>
          <c:cat>
            <c:strRef>
              <c:f>'[CNKI-2023第三季度专利数据.xlsx]4主题词分析'!$E$2:$E$41</c:f>
              <c:strCache>
                <c:ptCount val="40"/>
                <c:pt idx="0">
                  <c:v>介电电泳</c:v>
                </c:pt>
                <c:pt idx="1">
                  <c:v>组合物</c:v>
                </c:pt>
                <c:pt idx="2">
                  <c:v>制备方法</c:v>
                </c:pt>
                <c:pt idx="3">
                  <c:v>单元模块</c:v>
                </c:pt>
                <c:pt idx="4">
                  <c:v>高介电材料</c:v>
                </c:pt>
                <c:pt idx="5">
                  <c:v>中草药</c:v>
                </c:pt>
                <c:pt idx="6">
                  <c:v>检测装置</c:v>
                </c:pt>
                <c:pt idx="7">
                  <c:v>集中管理系统</c:v>
                </c:pt>
                <c:pt idx="8">
                  <c:v>存储介质</c:v>
                </c:pt>
                <c:pt idx="9">
                  <c:v>机器视觉</c:v>
                </c:pt>
                <c:pt idx="10">
                  <c:v>驱动电视</c:v>
                </c:pt>
                <c:pt idx="11">
                  <c:v>电极结构</c:v>
                </c:pt>
                <c:pt idx="12">
                  <c:v>纳米复合材料</c:v>
                </c:pt>
                <c:pt idx="13">
                  <c:v>山楂浆</c:v>
                </c:pt>
                <c:pt idx="14">
                  <c:v>细菌病</c:v>
                </c:pt>
                <c:pt idx="15">
                  <c:v>压力测试</c:v>
                </c:pt>
                <c:pt idx="16">
                  <c:v>结果部位</c:v>
                </c:pt>
                <c:pt idx="17">
                  <c:v>电子设备</c:v>
                </c:pt>
                <c:pt idx="18">
                  <c:v>GroES</c:v>
                </c:pt>
                <c:pt idx="19">
                  <c:v>肌肉力量</c:v>
                </c:pt>
                <c:pt idx="20">
                  <c:v>发酵饼干</c:v>
                </c:pt>
                <c:pt idx="21">
                  <c:v>格瓦斯</c:v>
                </c:pt>
                <c:pt idx="22">
                  <c:v>高氨基酸</c:v>
                </c:pt>
                <c:pt idx="23">
                  <c:v>无障碍</c:v>
                </c:pt>
                <c:pt idx="24">
                  <c:v>布鲁氏菌</c:v>
                </c:pt>
                <c:pt idx="25">
                  <c:v>助力轮</c:v>
                </c:pt>
                <c:pt idx="26">
                  <c:v>固定带</c:v>
                </c:pt>
                <c:pt idx="27">
                  <c:v>方法与应用</c:v>
                </c:pt>
                <c:pt idx="28">
                  <c:v>微生物</c:v>
                </c:pt>
                <c:pt idx="29">
                  <c:v>构建方法</c:v>
                </c:pt>
                <c:pt idx="30">
                  <c:v>小黄姜</c:v>
                </c:pt>
                <c:pt idx="31">
                  <c:v>ZnO@PDA/Ag-Ag-2O</c:v>
                </c:pt>
                <c:pt idx="32">
                  <c:v>体育器械</c:v>
                </c:pt>
                <c:pt idx="33">
                  <c:v>定位装置</c:v>
                </c:pt>
                <c:pt idx="34">
                  <c:v>恶意软件检测</c:v>
                </c:pt>
                <c:pt idx="35">
                  <c:v>压力盒</c:v>
                </c:pt>
                <c:pt idx="36">
                  <c:v>产碱菌属</c:v>
                </c:pt>
                <c:pt idx="37">
                  <c:v>真核表达载体</c:v>
                </c:pt>
                <c:pt idx="38">
                  <c:v>L7/L12</c:v>
                </c:pt>
                <c:pt idx="39">
                  <c:v>鲆鲽鱼</c:v>
                </c:pt>
              </c:strCache>
            </c:strRef>
          </c:cat>
          <c:val>
            <c:numRef>
              <c:f>'[CNKI-2023第三季度专利数据.xlsx]4主题词分析'!$F$2:$F$41</c:f>
              <c:numCache>
                <c:formatCode>General</c:formatCode>
                <c:ptCount val="40"/>
                <c:pt idx="0">
                  <c:v>3</c:v>
                </c:pt>
                <c:pt idx="1">
                  <c:v>2</c:v>
                </c:pt>
                <c:pt idx="2">
                  <c:v>2</c:v>
                </c:pt>
                <c:pt idx="3">
                  <c:v>2</c:v>
                </c:pt>
                <c:pt idx="4">
                  <c:v>2</c:v>
                </c:pt>
                <c:pt idx="5">
                  <c:v>2</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0"/>
          <c:showCatName val="0"/>
          <c:showSerName val="0"/>
          <c:showPercent val="0"/>
          <c:showBubbleSize val="0"/>
        </c:dLbls>
        <c:gapWidth val="246"/>
        <c:overlap val="-28"/>
        <c:axId val="801100684"/>
        <c:axId val="30700836"/>
      </c:barChart>
      <c:catAx>
        <c:axId val="8011006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700836"/>
        <c:crosses val="autoZero"/>
        <c:auto val="1"/>
        <c:lblAlgn val="ctr"/>
        <c:lblOffset val="100"/>
        <c:noMultiLvlLbl val="0"/>
      </c:catAx>
      <c:valAx>
        <c:axId val="30700836"/>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11006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次要主题分布</a:t>
            </a:r>
            <a:endParaRPr b="0"/>
          </a:p>
        </c:rich>
      </c:tx>
      <c:layout/>
      <c:overlay val="0"/>
      <c:spPr>
        <a:noFill/>
        <a:ln>
          <a:noFill/>
        </a:ln>
        <a:effectLst/>
      </c:spPr>
    </c:title>
    <c:autoTitleDeleted val="0"/>
    <c:plotArea>
      <c:layout/>
      <c:barChart>
        <c:barDir val="col"/>
        <c:grouping val="clustered"/>
        <c:varyColors val="0"/>
        <c:ser>
          <c:idx val="0"/>
          <c:order val="0"/>
          <c:tx>
            <c:strRef>
              <c:f>'[CNKI-2023第三季度专利数据.xlsx]4主题词分析'!$M$1</c:f>
              <c:strCache>
                <c:ptCount val="1"/>
                <c:pt idx="0">
                  <c:v>专利数</c:v>
                </c:pt>
              </c:strCache>
            </c:strRef>
          </c:tx>
          <c:spPr>
            <a:solidFill>
              <a:schemeClr val="accent1"/>
            </a:solidFill>
            <a:ln>
              <a:noFill/>
            </a:ln>
            <a:effectLst/>
          </c:spPr>
          <c:invertIfNegative val="0"/>
          <c:dLbls>
            <c:delete val="1"/>
          </c:dLbls>
          <c:cat>
            <c:strRef>
              <c:f>'[CNKI-2023第三季度专利数据.xlsx]4主题词分析'!$L$2:$L$41</c:f>
              <c:strCache>
                <c:ptCount val="40"/>
                <c:pt idx="0">
                  <c:v>电极结构</c:v>
                </c:pt>
                <c:pt idx="1">
                  <c:v>酒精溶液</c:v>
                </c:pt>
                <c:pt idx="2">
                  <c:v>灰度共生矩阵</c:v>
                </c:pt>
                <c:pt idx="3">
                  <c:v>固液分离</c:v>
                </c:pt>
                <c:pt idx="4">
                  <c:v>纳米片</c:v>
                </c:pt>
                <c:pt idx="5">
                  <c:v>参数更新</c:v>
                </c:pt>
                <c:pt idx="6">
                  <c:v>流量统计</c:v>
                </c:pt>
                <c:pt idx="7">
                  <c:v>椭圆拟合</c:v>
                </c:pt>
                <c:pt idx="8">
                  <c:v>外植体</c:v>
                </c:pt>
                <c:pt idx="9">
                  <c:v>伺服电机</c:v>
                </c:pt>
                <c:pt idx="10">
                  <c:v>糖度计</c:v>
                </c:pt>
                <c:pt idx="11">
                  <c:v>增殖倍数</c:v>
                </c:pt>
                <c:pt idx="12">
                  <c:v>LED</c:v>
                </c:pt>
                <c:pt idx="13">
                  <c:v>保加利亚乳杆菌</c:v>
                </c:pt>
                <c:pt idx="14">
                  <c:v>RhB</c:v>
                </c:pt>
                <c:pt idx="15">
                  <c:v>预估模型</c:v>
                </c:pt>
                <c:pt idx="16">
                  <c:v>网络流量</c:v>
                </c:pt>
                <c:pt idx="17">
                  <c:v>交互图</c:v>
                </c:pt>
                <c:pt idx="18">
                  <c:v>目标提取</c:v>
                </c:pt>
                <c:pt idx="19">
                  <c:v>介电常数</c:v>
                </c:pt>
                <c:pt idx="20">
                  <c:v>半滑舌鳎</c:v>
                </c:pt>
                <c:pt idx="21">
                  <c:v>收放机构</c:v>
                </c:pt>
                <c:pt idx="22">
                  <c:v>微生物发酵液</c:v>
                </c:pt>
                <c:pt idx="23">
                  <c:v>纹理特征</c:v>
                </c:pt>
                <c:pt idx="24">
                  <c:v>天然饮用水</c:v>
                </c:pt>
                <c:pt idx="25">
                  <c:v>龙眼核</c:v>
                </c:pt>
                <c:pt idx="26">
                  <c:v>万向轮</c:v>
                </c:pt>
                <c:pt idx="27">
                  <c:v>酵母菌</c:v>
                </c:pt>
                <c:pt idx="28">
                  <c:v>驱动电机</c:v>
                </c:pt>
                <c:pt idx="29">
                  <c:v>安装环</c:v>
                </c:pt>
                <c:pt idx="30">
                  <c:v>创伤弧菌</c:v>
                </c:pt>
                <c:pt idx="31">
                  <c:v>安装架</c:v>
                </c:pt>
                <c:pt idx="32">
                  <c:v>学习英语</c:v>
                </c:pt>
                <c:pt idx="33">
                  <c:v>生根培养基</c:v>
                </c:pt>
                <c:pt idx="34">
                  <c:v>定位盒</c:v>
                </c:pt>
                <c:pt idx="35">
                  <c:v>次氯酸钠溶液</c:v>
                </c:pt>
                <c:pt idx="36">
                  <c:v>雌花簇</c:v>
                </c:pt>
                <c:pt idx="37">
                  <c:v>结果枝</c:v>
                </c:pt>
                <c:pt idx="38">
                  <c:v>粘连分割</c:v>
                </c:pt>
                <c:pt idx="39">
                  <c:v>翻译练习</c:v>
                </c:pt>
              </c:strCache>
            </c:strRef>
          </c:cat>
          <c:val>
            <c:numRef>
              <c:f>'[CNKI-2023第三季度专利数据.xlsx]4主题词分析'!$M$2:$M$41</c:f>
              <c:numCache>
                <c:formatCode>General</c:formatCode>
                <c:ptCount val="40"/>
                <c:pt idx="0">
                  <c:v>2</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0"/>
          <c:showCatName val="0"/>
          <c:showSerName val="0"/>
          <c:showPercent val="0"/>
          <c:showBubbleSize val="0"/>
        </c:dLbls>
        <c:gapWidth val="246"/>
        <c:overlap val="-28"/>
        <c:axId val="440397518"/>
        <c:axId val="938185668"/>
      </c:barChart>
      <c:catAx>
        <c:axId val="4403975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8185668"/>
        <c:crosses val="autoZero"/>
        <c:auto val="1"/>
        <c:lblAlgn val="ctr"/>
        <c:lblOffset val="100"/>
        <c:noMultiLvlLbl val="0"/>
      </c:catAx>
      <c:valAx>
        <c:axId val="938185668"/>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039751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技术领域与产业构成分布</a:t>
            </a:r>
            <a:endParaRPr b="0"/>
          </a:p>
        </c:rich>
      </c:tx>
      <c:layout>
        <c:manualLayout>
          <c:xMode val="edge"/>
          <c:yMode val="edge"/>
          <c:x val="0.280263157894737"/>
          <c:y val="0.0381944444444444"/>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'[CNKI-2023第三季度专利数据.xlsx]6IPC'!$D$3:$D$16</c:f>
              <c:strCache>
                <c:ptCount val="14"/>
                <c:pt idx="0">
                  <c:v>A01</c:v>
                </c:pt>
                <c:pt idx="1">
                  <c:v>B01</c:v>
                </c:pt>
                <c:pt idx="2">
                  <c:v>A61</c:v>
                </c:pt>
                <c:pt idx="3">
                  <c:v>C12</c:v>
                </c:pt>
                <c:pt idx="4">
                  <c:v>G06</c:v>
                </c:pt>
                <c:pt idx="5">
                  <c:v>A21</c:v>
                </c:pt>
                <c:pt idx="6">
                  <c:v>A23</c:v>
                </c:pt>
                <c:pt idx="7">
                  <c:v>A47</c:v>
                </c:pt>
                <c:pt idx="8">
                  <c:v>A63</c:v>
                </c:pt>
                <c:pt idx="9">
                  <c:v>B66</c:v>
                </c:pt>
                <c:pt idx="10">
                  <c:v>C02</c:v>
                </c:pt>
                <c:pt idx="11">
                  <c:v>E21</c:v>
                </c:pt>
                <c:pt idx="12">
                  <c:v>F16</c:v>
                </c:pt>
                <c:pt idx="13">
                  <c:v>G01</c:v>
                </c:pt>
              </c:strCache>
            </c:strRef>
          </c:cat>
          <c:val>
            <c:numRef>
              <c:f>'[CNKI-2023第三季度专利数据.xlsx]6IPC'!$E$3:$E$16</c:f>
              <c:numCache>
                <c:formatCode>General</c:formatCode>
                <c:ptCount val="14"/>
                <c:pt idx="0">
                  <c:v>3</c:v>
                </c:pt>
                <c:pt idx="1">
                  <c:v>3</c:v>
                </c:pt>
                <c:pt idx="2">
                  <c:v>2</c:v>
                </c:pt>
                <c:pt idx="3">
                  <c:v>2</c:v>
                </c:pt>
                <c:pt idx="4">
                  <c:v>2</c:v>
                </c:pt>
                <c:pt idx="5">
                  <c:v>1</c:v>
                </c:pt>
                <c:pt idx="6">
                  <c:v>1</c:v>
                </c:pt>
                <c:pt idx="7">
                  <c:v>1</c:v>
                </c:pt>
                <c:pt idx="8">
                  <c:v>1</c:v>
                </c:pt>
                <c:pt idx="9">
                  <c:v>1</c:v>
                </c:pt>
                <c:pt idx="10">
                  <c:v>1</c:v>
                </c:pt>
                <c:pt idx="11">
                  <c:v>1</c:v>
                </c:pt>
                <c:pt idx="12">
                  <c:v>1</c:v>
                </c:pt>
                <c:pt idx="13">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rPr b="0"/>
              <a:t>申请机构分布</a:t>
            </a:r>
            <a:endParaRPr b="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'[CNKI-2023第三季度专利数据.xlsx]7申请机构'!$C$1:$C$2</c:f>
              <c:strCache>
                <c:ptCount val="2"/>
                <c:pt idx="0">
                  <c:v>河北科技师范学院</c:v>
                </c:pt>
                <c:pt idx="1">
                  <c:v>河北科技师范学院+其他</c:v>
                </c:pt>
              </c:strCache>
            </c:strRef>
          </c:cat>
          <c:val>
            <c:numRef>
              <c:f>'[CNKI-2023第三季度专利数据.xlsx]7申请机构'!$D$1:$D$2</c:f>
              <c:numCache>
                <c:formatCode>General</c:formatCode>
                <c:ptCount val="2"/>
                <c:pt idx="0">
                  <c:v>17</c:v>
                </c:pt>
                <c:pt idx="1">
                  <c:v>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1880</Words>
  <Characters>2036</Characters>
  <Lines>20</Lines>
  <Paragraphs>5</Paragraphs>
  <TotalTime>131</TotalTime>
  <ScaleCrop>false</ScaleCrop>
  <LinksUpToDate>false</LinksUpToDate>
  <CharactersWithSpaces>2388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ym</cp:lastModifiedBy>
  <dcterms:modified xsi:type="dcterms:W3CDTF">2023-10-16T02:21:28Z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55800B5F88B5493DA75F3E47F422650E_13</vt:lpwstr>
  </property>
</Properties>
</file>