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3" name="等腰三角形 3"/>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LTphfEc&#10;AgAABQQAAA4AAAAAAAAAAQAgAAAAJwEAAGRycy9lMm9Eb2MueG1sUEsFBgAAAAAGAAYAWQEAALUF&#10;A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9"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CuvJhx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K68mH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10"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1"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frfhM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AfrfhM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4629785</wp:posOffset>
                </wp:positionH>
                <wp:positionV relativeFrom="page">
                  <wp:posOffset>8792210</wp:posOffset>
                </wp:positionV>
                <wp:extent cx="2211705" cy="820420"/>
                <wp:effectExtent l="0" t="0" r="0" b="0"/>
                <wp:wrapNone/>
                <wp:docPr id="12"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4.55pt;margin-top:692.3pt;height:64.6pt;width:174.15pt;mso-position-horizontal-relative:page;mso-position-vertical-relative:page;z-index:-251653120;mso-width-relative:page;mso-height-relative:page;" filled="f" stroked="f" coordsize="21600,21600" o:gfxdata="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9om7N0AAAAOAQAADwAAAAAA&#10;AAABACAAAAAiAAAAZHJzL2Rvd25yZXYueG1sUEsBAhQAFAAAAAgAh07iQEoxrHjVAQAAiwMAAA4A&#10;AAAAAAAAAQAgAAAALAEAAGRycy9lMm9Eb2MueG1sUEsFBgAAAAAGAAYAWQEAAHMFA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701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81215" cy="1701800"/>
                        </a:xfrm>
                        <a:prstGeom prst="rect">
                          <a:avLst/>
                        </a:prstGeom>
                        <a:noFill/>
                        <a:ln w="6350">
                          <a:noFill/>
                        </a:ln>
                      </wps:spPr>
                      <wps:txbx>
                        <w:txbxContent>
                          <w:p>
                            <w:pPr>
                              <w:spacing w:line="720" w:lineRule="auto"/>
                              <w:ind w:firstLine="520" w:firstLineChars="1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2023年发文分析报告</w:t>
                            </w:r>
                          </w:p>
                          <w:p>
                            <w:pPr>
                              <w:spacing w:line="72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34pt;width:565.45pt;mso-position-horizontal-relative:page;mso-position-vertical-relative:page;z-index:-251652096;mso-width-relative:page;mso-height-relative:page;" filled="f" stroked="f" coordsize="21600,21600" o:gfxdata="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SKOrXdAAAADAEAAA8AAAAAAAAAAQAgAAAAIgAAAGRycy9kb3du&#10;cmV2LnhtbFBLAQIUABQAAAAIAIdO4kDvMczUwQEAAGgDAAAOAAAAAAAAAAEAIAAAACwBAABkcnMv&#10;ZTJvRG9jLnhtbFBLBQYAAAAABgAGAFkBAABfBQAAAAA=&#10;">
                <v:fill on="f" focussize="0,0"/>
                <v:stroke on="f" weight="0.5pt"/>
                <v:imagedata o:title=""/>
                <o:lock v:ext="edit" aspectratio="f"/>
                <v:textbox>
                  <w:txbxContent>
                    <w:p>
                      <w:pPr>
                        <w:spacing w:line="720" w:lineRule="auto"/>
                        <w:ind w:firstLine="520" w:firstLineChars="1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2023年发文分析报告</w:t>
                      </w:r>
                    </w:p>
                    <w:p>
                      <w:pPr>
                        <w:spacing w:line="72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168650"/>
                <wp:effectExtent l="0" t="0" r="0" b="12700"/>
                <wp:wrapNone/>
                <wp:docPr id="14" name="箭头: 左 10"/>
                <wp:cNvGraphicFramePr/>
                <a:graphic xmlns:a="http://schemas.openxmlformats.org/drawingml/2006/main">
                  <a:graphicData uri="http://schemas.microsoft.com/office/word/2010/wordprocessingShape">
                    <wps:wsp>
                      <wps:cNvSpPr/>
                      <wps:spPr>
                        <a:xfrm flipH="1">
                          <a:off x="0" y="0"/>
                          <a:ext cx="7848600" cy="31686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49.5pt;width:618pt;mso-position-horizontal-relative:page;mso-position-vertical-relative:page;z-index:-251656192;v-text-anchor:middle;mso-width-relative:page;mso-height-relative:page;" fillcolor="#DEEBF7" filled="t" stroked="f" coordsize="21600,21600" o:gfxdata="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7GXD3AAAAA0BAAAPAAAAAAAAAAEAIAAAACIAAABkcnMvZG93bnJldi54bWxQSwECFAAUAAAA&#10;CACHTuJAYo23tiMCAAAyBAAADgAAAAAAAAABACAAAAArAQAAZHJzL2Uyb0RvYy54bWxQSwUGAAAA&#10;AAYABgBZAQAAwAUAAAAA&#10;" adj="468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5"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0"/>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DDzg+vUBAADYAwAADgAAAAAAAAABACAAAAAmAQAAZHJzL2Uyb0RvYy54bWxQ&#10;SwUGAAAAAAYABgBZAQAAjQUAAAAA&#10;">
                <v:fill on="t" focussize="0,0"/>
                <v:stroke on="f" weight="0.5pt"/>
                <v:imagedata o:title=""/>
                <o:lock v:ext="edit" aspectratio="f"/>
                <v:textbox inset="0mm,0mm,0mm,0mm">
                  <w:txbxContent>
                    <w:p>
                      <w:pPr>
                        <w:pStyle w:val="10"/>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both"/>
        <w:rPr>
          <w:rFonts w:hint="default" w:ascii="楷体" w:hAnsi="楷体" w:eastAsia="楷体" w:cs="楷体"/>
          <w:b/>
          <w:bCs/>
          <w:sz w:val="32"/>
          <w:szCs w:val="32"/>
          <w:lang w:val="en-US" w:eastAsia="zh-CN"/>
        </w:r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spacing w:before="0" w:beforeLines="0" w:after="0" w:afterLines="0" w:line="240" w:lineRule="auto"/>
            <w:ind w:left="0" w:leftChars="0" w:right="0" w:rightChars="0" w:firstLine="0" w:firstLineChars="0"/>
            <w:jc w:val="both"/>
            <w:rPr>
              <w:rFonts w:hint="eastAsia" w:ascii="黑体" w:hAnsi="黑体" w:eastAsia="黑体" w:cs="黑体"/>
              <w:sz w:val="44"/>
              <w:szCs w:val="44"/>
            </w:rPr>
          </w:pPr>
        </w:p>
        <w:p>
          <w:pPr>
            <w:pStyle w:val="2"/>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2"/>
            <w:tabs>
              <w:tab w:val="right" w:leader="dot" w:pos="8306"/>
            </w:tabs>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_Toc7149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_Toc7149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_Toc26761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_Toc26761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_Toc9307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_Toc9307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_Toc9890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_Toc9890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_Toc31143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_Toc31143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_Toc9217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_Toc9217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_Toc15081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_Toc15081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_Toc13183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_Toc13183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_Toc19220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_Toc19220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_Toc23851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_Toc23851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_Toc17310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_Toc17310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_Toc9995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_Toc9995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_Toc18229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_Toc18229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_Toc26957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_Toc26957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_Toc4595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_Toc4595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_Toc17997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_Toc17997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_Toc26632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_Toc26632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31810"/>
      <w:bookmarkStart w:id="1" w:name="_Toc28842"/>
      <w:bookmarkStart w:id="2" w:name="_Toc10099"/>
      <w:r>
        <w:rPr>
          <w:rFonts w:hint="eastAsia" w:ascii="宋体" w:hAnsi="宋体" w:eastAsia="宋体" w:cs="宋体"/>
          <w:b/>
          <w:bCs/>
          <w:sz w:val="24"/>
          <w:szCs w:val="24"/>
        </w:rPr>
        <w:t>数据来源</w:t>
      </w:r>
      <w:bookmarkEnd w:id="0"/>
      <w:bookmarkEnd w:id="1"/>
      <w:bookmarkEnd w:id="2"/>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04</w:t>
      </w:r>
      <w:r>
        <w:rPr>
          <w:rFonts w:hint="eastAsia" w:ascii="宋体" w:hAnsi="宋体" w:eastAsia="宋体" w:cs="宋体"/>
          <w:sz w:val="24"/>
          <w:szCs w:val="24"/>
        </w:rPr>
        <w:t>月</w:t>
      </w:r>
      <w:r>
        <w:rPr>
          <w:rFonts w:hint="eastAsia" w:ascii="宋体" w:hAnsi="宋体" w:eastAsia="宋体" w:cs="宋体"/>
          <w:sz w:val="24"/>
          <w:szCs w:val="24"/>
          <w:lang w:val="en-US" w:eastAsia="zh-CN"/>
        </w:rPr>
        <w:t>15</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2024年04</w:t>
      </w:r>
      <w:r>
        <w:rPr>
          <w:rFonts w:hint="eastAsia" w:ascii="宋体" w:hAnsi="宋体" w:eastAsia="宋体" w:cs="宋体"/>
          <w:sz w:val="24"/>
          <w:szCs w:val="24"/>
        </w:rPr>
        <w:t>月</w:t>
      </w:r>
      <w:r>
        <w:rPr>
          <w:rFonts w:hint="eastAsia" w:ascii="宋体" w:hAnsi="宋体" w:eastAsia="宋体" w:cs="宋体"/>
          <w:sz w:val="24"/>
          <w:szCs w:val="24"/>
          <w:lang w:val="en-US" w:eastAsia="zh-CN"/>
        </w:rPr>
        <w:t>19</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3" w:name="_Toc27687"/>
      <w:bookmarkStart w:id="4" w:name="_Toc17741"/>
      <w:bookmarkStart w:id="5" w:name="_Toc9355"/>
      <w:r>
        <w:rPr>
          <w:rFonts w:hint="eastAsia" w:ascii="宋体" w:hAnsi="宋体" w:eastAsia="宋体" w:cs="宋体"/>
          <w:b/>
          <w:bCs/>
          <w:sz w:val="24"/>
          <w:szCs w:val="24"/>
        </w:rPr>
        <w:t>数据处理</w:t>
      </w:r>
      <w:bookmarkEnd w:id="3"/>
      <w:bookmarkEnd w:id="4"/>
      <w:bookmarkEnd w:id="5"/>
      <w:bookmarkStart w:id="59" w:name="_GoBack"/>
      <w:bookmarkEnd w:id="59"/>
    </w:p>
    <w:p>
      <w:pPr>
        <w:spacing w:line="480" w:lineRule="auto"/>
        <w:ind w:firstLine="480" w:firstLineChars="200"/>
        <w:outlineLvl w:val="0"/>
        <w:rPr>
          <w:rFonts w:hint="eastAsia" w:ascii="宋体" w:hAnsi="宋体" w:eastAsia="宋体" w:cs="宋体"/>
          <w:sz w:val="24"/>
          <w:szCs w:val="24"/>
        </w:rPr>
      </w:pPr>
      <w:bookmarkStart w:id="6" w:name="_Toc22773"/>
      <w:bookmarkStart w:id="7"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8" w:name="_Toc5375"/>
      <w:bookmarkStart w:id="9" w:name="_Toc7057"/>
      <w:bookmarkStart w:id="10" w:name="_Toc30686"/>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sz w:val="24"/>
          <w:szCs w:val="24"/>
          <w:lang w:val="en-US" w:eastAsia="zh-CN"/>
        </w:rPr>
      </w:pPr>
      <w:bookmarkStart w:id="11" w:name="_Toc15670"/>
      <w:bookmarkStart w:id="12" w:name="_Toc13037"/>
      <w:bookmarkStart w:id="13" w:name="_Toc1663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14" w:name="_Toc9858"/>
      <w:bookmarkStart w:id="15" w:name="_Toc13647"/>
      <w:bookmarkStart w:id="16" w:name="_Toc10613"/>
      <w:bookmarkStart w:id="17" w:name="_Toc7382"/>
      <w:r>
        <w:rPr>
          <w:rFonts w:hint="eastAsia" w:ascii="黑体" w:hAnsi="黑体" w:eastAsia="黑体" w:cs="黑体"/>
          <w:b/>
          <w:bCs/>
          <w:sz w:val="44"/>
          <w:szCs w:val="44"/>
          <w:lang w:val="en-US" w:eastAsia="zh-CN"/>
        </w:rPr>
        <w:t>河北科技师范学院</w:t>
      </w:r>
      <w:bookmarkEnd w:id="14"/>
      <w:bookmarkEnd w:id="15"/>
      <w:bookmarkEnd w:id="16"/>
      <w:bookmarkEnd w:id="17"/>
      <w:bookmarkStart w:id="18" w:name="_Toc10649"/>
      <w:bookmarkStart w:id="19" w:name="_Toc8013"/>
      <w:bookmarkStart w:id="20" w:name="_Toc15096"/>
      <w:bookmarkStart w:id="21" w:name="_Toc9198"/>
      <w:r>
        <w:rPr>
          <w:rFonts w:hint="eastAsia" w:ascii="黑体" w:hAnsi="黑体" w:eastAsia="黑体" w:cs="黑体"/>
          <w:b/>
          <w:bCs/>
          <w:sz w:val="44"/>
          <w:szCs w:val="44"/>
          <w:lang w:val="en-US" w:eastAsia="zh-CN"/>
        </w:rPr>
        <w:t>2023年发文分析报告</w:t>
      </w:r>
      <w:bookmarkEnd w:id="18"/>
      <w:bookmarkEnd w:id="19"/>
      <w:bookmarkEnd w:id="20"/>
      <w:bookmarkEnd w:id="21"/>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22" w:name="_Toc3849"/>
      <w:bookmarkStart w:id="23" w:name="_Toc7149"/>
      <w:r>
        <w:rPr>
          <w:rFonts w:hint="eastAsia" w:ascii="黑体" w:hAnsi="黑体" w:eastAsia="黑体" w:cs="黑体"/>
          <w:b/>
          <w:bCs/>
          <w:sz w:val="32"/>
          <w:szCs w:val="32"/>
          <w:lang w:val="en-US" w:eastAsia="zh-CN"/>
        </w:rPr>
        <w:t>中文发文情况统计分析</w:t>
      </w:r>
      <w:bookmarkEnd w:id="22"/>
      <w:bookmarkEnd w:id="23"/>
    </w:p>
    <w:p>
      <w:pPr>
        <w:numPr>
          <w:ilvl w:val="0"/>
          <w:numId w:val="2"/>
        </w:numPr>
        <w:jc w:val="both"/>
        <w:outlineLvl w:val="1"/>
        <w:rPr>
          <w:rFonts w:hint="eastAsia" w:ascii="仿宋" w:hAnsi="仿宋" w:eastAsia="仿宋" w:cs="仿宋"/>
          <w:b/>
          <w:bCs/>
          <w:sz w:val="30"/>
          <w:szCs w:val="30"/>
          <w:lang w:val="en-US" w:eastAsia="zh-CN"/>
        </w:rPr>
      </w:pPr>
      <w:bookmarkStart w:id="24" w:name="_Toc30099"/>
      <w:bookmarkStart w:id="25" w:name="_Toc26761"/>
      <w:r>
        <w:rPr>
          <w:rFonts w:hint="eastAsia" w:ascii="仿宋" w:hAnsi="仿宋" w:eastAsia="仿宋" w:cs="仿宋"/>
          <w:b/>
          <w:bCs/>
          <w:sz w:val="30"/>
          <w:szCs w:val="30"/>
          <w:lang w:val="en-US" w:eastAsia="zh-CN"/>
        </w:rPr>
        <w:t>发文量分析</w:t>
      </w:r>
      <w:bookmarkEnd w:id="24"/>
      <w:bookmarkEnd w:id="2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2023年</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474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39.5</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359</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75.74</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r>
        <w:rPr>
          <w:rFonts w:hint="eastAsia" w:ascii="仿宋" w:hAnsi="仿宋" w:eastAsia="仿宋" w:cs="仿宋"/>
          <w:sz w:val="28"/>
          <w:szCs w:val="28"/>
          <w:lang w:val="en-US" w:eastAsia="zh-CN"/>
        </w:rPr>
        <w:t>和图1</w:t>
      </w:r>
      <w:r>
        <w:rPr>
          <w:rFonts w:hint="eastAsia" w:ascii="仿宋" w:hAnsi="仿宋" w:eastAsia="仿宋" w:cs="仿宋"/>
          <w:sz w:val="28"/>
          <w:szCs w:val="28"/>
        </w:rPr>
        <w:t>。</w:t>
      </w:r>
    </w:p>
    <w:p>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国内期刊发文情况统计表</w:t>
      </w:r>
    </w:p>
    <w:tbl>
      <w:tblPr>
        <w:tblStyle w:val="4"/>
        <w:tblW w:w="4999" w:type="pct"/>
        <w:jc w:val="center"/>
        <w:tblLayout w:type="autofit"/>
        <w:tblCellMar>
          <w:top w:w="15" w:type="dxa"/>
          <w:left w:w="15" w:type="dxa"/>
          <w:bottom w:w="15" w:type="dxa"/>
          <w:right w:w="15" w:type="dxa"/>
        </w:tblCellMar>
      </w:tblPr>
      <w:tblGrid>
        <w:gridCol w:w="2644"/>
        <w:gridCol w:w="2699"/>
        <w:gridCol w:w="2991"/>
      </w:tblGrid>
      <w:tr>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2023年01月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2023年02月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34</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26</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2023年03月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59</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47</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2023年04月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bookmarkStart w:id="26" w:name="_Toc25622"/>
            <w:r>
              <w:rPr>
                <w:rFonts w:hint="eastAsia" w:ascii="仿宋" w:hAnsi="仿宋" w:eastAsia="仿宋" w:cs="仿宋"/>
                <w:color w:val="000000"/>
                <w:kern w:val="0"/>
                <w:sz w:val="24"/>
                <w:szCs w:val="24"/>
                <w:lang w:val="en-US" w:eastAsia="zh-CN" w:bidi="ar"/>
              </w:rPr>
              <w:t>2023年05月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2023年06月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57</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2023年07月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2023年08月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2023年09月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52</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2023年10月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2023年11月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2023年12月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359</w:t>
            </w:r>
          </w:p>
        </w:tc>
      </w:tr>
    </w:tbl>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统计</w:t>
      </w:r>
    </w:p>
    <w:p>
      <w:pPr>
        <w:numPr>
          <w:ilvl w:val="0"/>
          <w:numId w:val="0"/>
        </w:numPr>
        <w:spacing w:line="600" w:lineRule="auto"/>
        <w:jc w:val="center"/>
      </w:pPr>
      <w:r>
        <w:drawing>
          <wp:inline distT="0" distB="0" distL="114300" distR="114300">
            <wp:extent cx="4645025" cy="2593975"/>
            <wp:effectExtent l="4445" t="4445" r="17780" b="11430"/>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Start w:id="27" w:name="_Toc9307"/>
    </w:p>
    <w:p>
      <w:pPr>
        <w:numPr>
          <w:ilvl w:val="0"/>
          <w:numId w:val="0"/>
        </w:numPr>
        <w:spacing w:line="360" w:lineRule="auto"/>
        <w:jc w:val="left"/>
        <w:rPr>
          <w:rFonts w:hint="eastAsia"/>
          <w:lang w:val="en-US" w:eastAsia="zh-CN"/>
        </w:rPr>
      </w:pPr>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2.论文主题分析</w:t>
      </w:r>
      <w:bookmarkEnd w:id="26"/>
      <w:bookmarkEnd w:id="27"/>
    </w:p>
    <w:p>
      <w:pPr>
        <w:numPr>
          <w:ilvl w:val="0"/>
          <w:numId w:val="0"/>
        </w:numPr>
        <w:spacing w:line="480" w:lineRule="auto"/>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在2023年国内公开发表的474篇论文中，通过对主要主题词分析得到频次较高的主题词分布为：河北省、乡村振兴、分离鉴定、桃、冀东地区等，具体分布频次详见图2。</w:t>
      </w:r>
    </w:p>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w:t>
      </w:r>
    </w:p>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26280" cy="2571750"/>
            <wp:effectExtent l="4445" t="4445" r="22225" b="14605"/>
            <wp:docPr id="1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在2023年国内公开发表的474篇论文中，通过对次要主题词分析得到频次较高的主题词分布为：毒力基因、乡村振兴、耐药基因、生化特性、致病性等，具体分布频次详见图3。</w:t>
      </w:r>
    </w:p>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26280" cy="2668270"/>
            <wp:effectExtent l="4445" t="4445" r="22225" b="13335"/>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spacing w:line="360" w:lineRule="auto"/>
        <w:jc w:val="both"/>
        <w:rPr>
          <w:rFonts w:hint="eastAsia"/>
          <w:lang w:val="en-US" w:eastAsia="zh-CN"/>
        </w:rPr>
      </w:pPr>
      <w:bookmarkStart w:id="28" w:name="_Toc9501"/>
    </w:p>
    <w:p>
      <w:pPr>
        <w:numPr>
          <w:ilvl w:val="0"/>
          <w:numId w:val="0"/>
        </w:numPr>
        <w:ind w:leftChars="0"/>
        <w:jc w:val="both"/>
        <w:outlineLvl w:val="1"/>
        <w:rPr>
          <w:rFonts w:hint="eastAsia" w:ascii="仿宋" w:hAnsi="仿宋" w:eastAsia="仿宋" w:cs="仿宋"/>
          <w:b/>
          <w:bCs/>
          <w:sz w:val="30"/>
          <w:szCs w:val="30"/>
          <w:lang w:val="en-US" w:eastAsia="zh-CN"/>
        </w:rPr>
      </w:pPr>
      <w:bookmarkStart w:id="29" w:name="_Toc9890"/>
      <w:r>
        <w:rPr>
          <w:rFonts w:hint="eastAsia" w:ascii="仿宋" w:hAnsi="仿宋" w:eastAsia="仿宋" w:cs="仿宋"/>
          <w:b/>
          <w:bCs/>
          <w:sz w:val="30"/>
          <w:szCs w:val="30"/>
          <w:lang w:val="en-US" w:eastAsia="zh-CN"/>
        </w:rPr>
        <w:t>3.关键词分析</w:t>
      </w:r>
      <w:bookmarkEnd w:id="29"/>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综合分析2023年国内公开发表的474篇论文中，通过对关键词分析得到频次较高的关键词分布为：乡村振兴、板栗、产量、黄瓜、桃等，具体分布频次详见图4。</w:t>
      </w:r>
      <w:bookmarkStart w:id="30" w:name="_Toc28299"/>
      <w:bookmarkStart w:id="31" w:name="_Toc4666"/>
    </w:p>
    <w:p>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w:t>
      </w:r>
      <w:bookmarkEnd w:id="30"/>
      <w:bookmarkEnd w:id="31"/>
    </w:p>
    <w:p>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527550" cy="2733675"/>
            <wp:effectExtent l="4445" t="4445" r="20955" b="508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spacing w:line="360" w:lineRule="auto"/>
        <w:ind w:leftChars="0"/>
        <w:jc w:val="both"/>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2" w:name="_Toc31143"/>
      <w:r>
        <w:rPr>
          <w:rFonts w:hint="eastAsia" w:ascii="仿宋" w:hAnsi="仿宋" w:eastAsia="仿宋" w:cs="仿宋"/>
          <w:b/>
          <w:bCs/>
          <w:sz w:val="30"/>
          <w:szCs w:val="30"/>
          <w:lang w:val="en-US" w:eastAsia="zh-CN"/>
        </w:rPr>
        <w:t>4.文献来源分析</w:t>
      </w:r>
      <w:bookmarkEnd w:id="28"/>
      <w:bookmarkEnd w:id="32"/>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国内公开发表的474篇论文中，文献来源共计239种，其中核心期刊187种，占总数的39.45%。文献来源主要集中在河北科技师范学院学报、河北科技师范学院学报(社会科学版)、河北果树、江苏农业科学等。其中论文数在2篇以上的有69种，论文数5篇以上的有13种，发表论文最多的刊物是《河北科技师范学院学报》。详见表2。</w:t>
      </w:r>
    </w:p>
    <w:p>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42</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0.500</w:t>
            </w:r>
          </w:p>
        </w:tc>
      </w:tr>
      <w:tr>
        <w:tblPrEx>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河北果树</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河北科技师范学院学报(社会科学版)</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0.185</w:t>
            </w:r>
          </w:p>
        </w:tc>
      </w:tr>
      <w:tr>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0.052</w:t>
            </w:r>
          </w:p>
        </w:tc>
      </w:tr>
      <w:tr>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核农学报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2.149</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当代体育科技</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0.050</w:t>
            </w:r>
          </w:p>
        </w:tc>
      </w:tr>
      <w:tr>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黑龙江畜牧兽医</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0.693</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食品工业科技</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1.960</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现代农村科技</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麦类作物学报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1.591</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山西农经</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0.096</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食品研究与开发</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1.747</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中国瓜菜</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1.065</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中国预防兽医学报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0.913</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中外葡萄与葡萄酒</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1.087</w:t>
            </w:r>
          </w:p>
        </w:tc>
      </w:tr>
    </w:tbl>
    <w:p>
      <w:pPr>
        <w:numPr>
          <w:ilvl w:val="0"/>
          <w:numId w:val="0"/>
        </w:numPr>
        <w:spacing w:line="360" w:lineRule="auto"/>
        <w:jc w:val="both"/>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3" w:name="_Toc9217"/>
      <w:bookmarkStart w:id="34" w:name="_Toc9095"/>
      <w:r>
        <w:rPr>
          <w:rFonts w:hint="eastAsia" w:ascii="仿宋" w:hAnsi="仿宋" w:eastAsia="仿宋" w:cs="仿宋"/>
          <w:b/>
          <w:bCs/>
          <w:sz w:val="30"/>
          <w:szCs w:val="30"/>
          <w:lang w:val="en-US" w:eastAsia="zh-CN"/>
        </w:rPr>
        <w:t>5.学科分析</w:t>
      </w:r>
      <w:bookmarkEnd w:id="33"/>
      <w:bookmarkEnd w:id="34"/>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综合分析2023年国内公开发表的474篇论文中，</w:t>
      </w:r>
      <w:r>
        <w:rPr>
          <w:rFonts w:hint="eastAsia" w:ascii="仿宋" w:hAnsi="仿宋" w:eastAsia="仿宋" w:cs="仿宋"/>
          <w:sz w:val="28"/>
          <w:szCs w:val="28"/>
          <w:lang w:val="en-US" w:eastAsia="zh-CN"/>
        </w:rPr>
        <w:t>园艺、畜牧与动物医学、轻工业手工业、农作物、高等教育、农业经济、植物保护等学科发文超过30篇，其中园艺发文量最多，发文79篇，具体情况见表3。</w:t>
      </w:r>
    </w:p>
    <w:p>
      <w:pPr>
        <w:spacing w:line="60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77"/>
        <w:gridCol w:w="2682"/>
        <w:gridCol w:w="902"/>
        <w:gridCol w:w="689"/>
        <w:gridCol w:w="2627"/>
        <w:gridCol w:w="8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346"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08"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41"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13"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75"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08"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541"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79</w:t>
            </w:r>
          </w:p>
        </w:tc>
        <w:tc>
          <w:tcPr>
            <w:tcW w:w="413"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57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环境科学与资源利用</w:t>
            </w:r>
          </w:p>
        </w:tc>
        <w:tc>
          <w:tcPr>
            <w:tcW w:w="51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54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62</w:t>
            </w:r>
          </w:p>
        </w:tc>
        <w:tc>
          <w:tcPr>
            <w:tcW w:w="413" w:type="pct"/>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575" w:type="pct"/>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515" w:type="pct"/>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08"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541"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41</w:t>
            </w:r>
          </w:p>
        </w:tc>
        <w:tc>
          <w:tcPr>
            <w:tcW w:w="413"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57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化学</w:t>
            </w:r>
          </w:p>
        </w:tc>
        <w:tc>
          <w:tcPr>
            <w:tcW w:w="51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54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38</w:t>
            </w:r>
          </w:p>
        </w:tc>
        <w:tc>
          <w:tcPr>
            <w:tcW w:w="4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5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建筑科学与工程</w:t>
            </w:r>
          </w:p>
        </w:tc>
        <w:tc>
          <w:tcPr>
            <w:tcW w:w="51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08"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541"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33</w:t>
            </w:r>
          </w:p>
        </w:tc>
        <w:tc>
          <w:tcPr>
            <w:tcW w:w="413"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57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农业基础科学</w:t>
            </w:r>
          </w:p>
        </w:tc>
        <w:tc>
          <w:tcPr>
            <w:tcW w:w="515"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6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54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w:t>
            </w:r>
          </w:p>
        </w:tc>
        <w:tc>
          <w:tcPr>
            <w:tcW w:w="4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5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自动化技术</w:t>
            </w:r>
          </w:p>
        </w:tc>
        <w:tc>
          <w:tcPr>
            <w:tcW w:w="51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1608"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541"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w:t>
            </w:r>
          </w:p>
        </w:tc>
        <w:tc>
          <w:tcPr>
            <w:tcW w:w="413"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575"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515"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6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54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28</w:t>
            </w:r>
          </w:p>
        </w:tc>
        <w:tc>
          <w:tcPr>
            <w:tcW w:w="4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5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教育理论与教育管理</w:t>
            </w:r>
          </w:p>
        </w:tc>
        <w:tc>
          <w:tcPr>
            <w:tcW w:w="51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08"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541"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w:t>
            </w:r>
          </w:p>
        </w:tc>
        <w:tc>
          <w:tcPr>
            <w:tcW w:w="413"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575"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旅游</w:t>
            </w:r>
          </w:p>
        </w:tc>
        <w:tc>
          <w:tcPr>
            <w:tcW w:w="515"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计算机软件及计算机技术</w:t>
            </w:r>
          </w:p>
        </w:tc>
        <w:tc>
          <w:tcPr>
            <w:tcW w:w="54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4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57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企业经济</w:t>
            </w:r>
          </w:p>
        </w:tc>
        <w:tc>
          <w:tcPr>
            <w:tcW w:w="51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r>
    </w:tbl>
    <w:p>
      <w:pPr>
        <w:numPr>
          <w:ilvl w:val="0"/>
          <w:numId w:val="0"/>
        </w:numPr>
        <w:jc w:val="both"/>
        <w:outlineLvl w:val="1"/>
        <w:rPr>
          <w:rFonts w:hint="eastAsia" w:ascii="仿宋" w:hAnsi="仿宋" w:eastAsia="仿宋" w:cs="仿宋"/>
          <w:b/>
          <w:bCs/>
          <w:sz w:val="30"/>
          <w:szCs w:val="30"/>
          <w:lang w:val="en-US" w:eastAsia="zh-CN"/>
        </w:rPr>
      </w:pPr>
      <w:bookmarkStart w:id="36" w:name="_Toc15081"/>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pPr>
        <w:spacing w:line="48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综合分析2023年国内公开发表的474篇论文中，发文超过三篇文献的作者有10人，详情见表4。</w:t>
      </w:r>
    </w:p>
    <w:p>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val="en-US" w:eastAsia="zh-CN" w:bidi="ar"/>
        </w:rPr>
        <w:t>表4河</w:t>
      </w:r>
      <w:r>
        <w:rPr>
          <w:rFonts w:hint="eastAsia" w:ascii="仿宋" w:hAnsi="仿宋" w:eastAsia="仿宋" w:cs="仿宋"/>
          <w:b/>
          <w:bCs/>
          <w:color w:val="000000"/>
          <w:kern w:val="0"/>
          <w:sz w:val="24"/>
          <w:szCs w:val="24"/>
          <w:lang w:bidi="ar"/>
        </w:rPr>
        <w:t>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w:t>
      </w:r>
      <w:r>
        <w:rPr>
          <w:rFonts w:hint="eastAsia" w:ascii="仿宋" w:hAnsi="仿宋" w:eastAsia="仿宋" w:cs="仿宋"/>
          <w:b/>
          <w:bCs/>
          <w:color w:val="000000"/>
          <w:kern w:val="0"/>
          <w:sz w:val="24"/>
          <w:szCs w:val="24"/>
          <w:lang w:bidi="ar"/>
        </w:rPr>
        <w:t>统计表</w:t>
      </w:r>
    </w:p>
    <w:tbl>
      <w:tblPr>
        <w:tblStyle w:val="4"/>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4"/>
        <w:gridCol w:w="1853"/>
        <w:gridCol w:w="1329"/>
        <w:gridCol w:w="41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573"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113"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798"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14" w:type="pct"/>
            <w:tcBorders>
              <w:tl2br w:val="nil"/>
              <w:tr2bl w:val="nil"/>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853"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白和平</w:t>
            </w:r>
          </w:p>
        </w:tc>
        <w:tc>
          <w:tcPr>
            <w:tcW w:w="1329"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河北省预防兽医学重点实验室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85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李琼</w:t>
            </w:r>
          </w:p>
        </w:tc>
        <w:tc>
          <w:tcPr>
            <w:tcW w:w="1329"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体育与健康学院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7" w:name="_Toc23809"/>
            <w:r>
              <w:rPr>
                <w:rFonts w:hint="eastAsia" w:ascii="仿宋" w:hAnsi="仿宋" w:eastAsia="仿宋" w:cs="仿宋"/>
                <w:i w:val="0"/>
                <w:color w:val="000000"/>
                <w:kern w:val="0"/>
                <w:sz w:val="24"/>
                <w:szCs w:val="24"/>
                <w:u w:val="none"/>
                <w:lang w:val="en-US" w:eastAsia="zh-CN" w:bidi="ar"/>
              </w:rPr>
              <w:t>3</w:t>
            </w:r>
          </w:p>
        </w:tc>
        <w:tc>
          <w:tcPr>
            <w:tcW w:w="1853"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刘谢荣</w:t>
            </w:r>
          </w:p>
        </w:tc>
        <w:tc>
          <w:tcPr>
            <w:tcW w:w="1329"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85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吴帆</w:t>
            </w:r>
          </w:p>
        </w:tc>
        <w:tc>
          <w:tcPr>
            <w:tcW w:w="1329"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1853"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赵志强</w:t>
            </w:r>
          </w:p>
        </w:tc>
        <w:tc>
          <w:tcPr>
            <w:tcW w:w="1329"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文法学院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85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安赛</w:t>
            </w:r>
          </w:p>
        </w:tc>
        <w:tc>
          <w:tcPr>
            <w:tcW w:w="1329"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城市建设学院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1853"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王建梅</w:t>
            </w:r>
          </w:p>
        </w:tc>
        <w:tc>
          <w:tcPr>
            <w:tcW w:w="1329"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85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王妹娟</w:t>
            </w:r>
          </w:p>
        </w:tc>
        <w:tc>
          <w:tcPr>
            <w:tcW w:w="1329"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科研处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853"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魏源</w:t>
            </w:r>
          </w:p>
        </w:tc>
        <w:tc>
          <w:tcPr>
            <w:tcW w:w="1329"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85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闫志利</w:t>
            </w:r>
          </w:p>
        </w:tc>
        <w:tc>
          <w:tcPr>
            <w:tcW w:w="1329"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职业教育研究院</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default" w:ascii="仿宋" w:hAnsi="仿宋" w:eastAsia="仿宋" w:cs="仿宋"/>
          <w:b/>
          <w:bCs/>
          <w:sz w:val="30"/>
          <w:szCs w:val="30"/>
          <w:lang w:val="en-US" w:eastAsia="zh-CN"/>
        </w:rPr>
      </w:pPr>
      <w:bookmarkStart w:id="38" w:name="_Toc13183"/>
      <w:r>
        <w:rPr>
          <w:rFonts w:hint="eastAsia" w:ascii="仿宋" w:hAnsi="仿宋" w:eastAsia="仿宋" w:cs="仿宋"/>
          <w:b/>
          <w:bCs/>
          <w:sz w:val="30"/>
          <w:szCs w:val="30"/>
          <w:lang w:val="en-US" w:eastAsia="zh-CN"/>
        </w:rPr>
        <w:t>7.合作单位分析</w:t>
      </w:r>
      <w:bookmarkEnd w:id="37"/>
      <w:bookmarkEnd w:id="38"/>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综合分析2023年国内公开发表的474篇论文中，合作发文超过2篇的合作单位有65个，合作发文超过5篇的合作单位有9个,其中合作发文最多的是燕山大学，合作发文27篇，具体分布见图5。</w:t>
      </w:r>
    </w:p>
    <w:p>
      <w:p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spacing w:line="360" w:lineRule="auto"/>
        <w:jc w:val="both"/>
        <w:outlineLvl w:val="1"/>
        <w:rPr>
          <w:rFonts w:hint="eastAsia" w:ascii="仿宋" w:hAnsi="仿宋" w:eastAsia="仿宋" w:cs="仿宋"/>
          <w:b/>
          <w:bCs/>
          <w:sz w:val="30"/>
          <w:szCs w:val="30"/>
          <w:lang w:val="en-US" w:eastAsia="zh-CN"/>
        </w:rPr>
      </w:pPr>
      <w:bookmarkStart w:id="39" w:name="_Toc19220"/>
      <w:bookmarkStart w:id="40" w:name="_Toc509"/>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国内公开发表的474篇论文中，基金资助超过五篇文章的有14个，基金资助超过十篇文章的有9个，其中资助文献最多的基金是河北省社会科学发展研究项目，资助发文41篇，下表列举资助篇数超过十篇的基金项目，具体分布见表5。</w:t>
      </w:r>
    </w:p>
    <w:p>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tbl>
      <w:tblPr>
        <w:tblStyle w:val="4"/>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41</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39</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30</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28</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18</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河北省科技计划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河北科技师范学院博士研究启动基金项目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jc w:val="both"/>
        <w:outlineLvl w:val="0"/>
        <w:rPr>
          <w:rFonts w:hint="eastAsia" w:ascii="黑体" w:hAnsi="黑体" w:eastAsia="黑体" w:cs="黑体"/>
          <w:b/>
          <w:bCs/>
          <w:sz w:val="30"/>
          <w:szCs w:val="30"/>
          <w:lang w:val="en-US" w:eastAsia="zh-CN"/>
        </w:rPr>
      </w:pPr>
      <w:bookmarkStart w:id="41" w:name="_Toc25917"/>
      <w:bookmarkStart w:id="42" w:name="_Toc23851"/>
      <w:r>
        <w:rPr>
          <w:rFonts w:hint="eastAsia" w:ascii="黑体" w:hAnsi="黑体" w:eastAsia="黑体" w:cs="黑体"/>
          <w:b/>
          <w:bCs/>
          <w:sz w:val="32"/>
          <w:szCs w:val="32"/>
          <w:lang w:val="en-US" w:eastAsia="zh-CN"/>
        </w:rPr>
        <w:t>二、外文发文情况统计分析</w:t>
      </w:r>
      <w:bookmarkEnd w:id="41"/>
      <w:bookmarkEnd w:id="42"/>
    </w:p>
    <w:p>
      <w:pPr>
        <w:numPr>
          <w:ilvl w:val="0"/>
          <w:numId w:val="0"/>
        </w:numPr>
        <w:jc w:val="both"/>
        <w:outlineLvl w:val="1"/>
        <w:rPr>
          <w:rFonts w:hint="eastAsia" w:ascii="仿宋" w:hAnsi="仿宋" w:eastAsia="仿宋" w:cs="仿宋"/>
          <w:b/>
          <w:bCs/>
          <w:sz w:val="30"/>
          <w:szCs w:val="30"/>
          <w:lang w:val="en-US" w:eastAsia="zh-CN"/>
        </w:rPr>
      </w:pPr>
      <w:bookmarkStart w:id="43" w:name="_Toc4689"/>
      <w:bookmarkStart w:id="44" w:name="_Toc17310"/>
      <w:r>
        <w:rPr>
          <w:rFonts w:hint="eastAsia" w:ascii="仿宋" w:hAnsi="仿宋" w:eastAsia="仿宋" w:cs="仿宋"/>
          <w:b/>
          <w:bCs/>
          <w:sz w:val="30"/>
          <w:szCs w:val="30"/>
          <w:lang w:val="en-US" w:eastAsia="zh-CN"/>
        </w:rPr>
        <w:t>1.发文量分析</w:t>
      </w:r>
      <w:bookmarkEnd w:id="43"/>
      <w:bookmarkEnd w:id="44"/>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2023年</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209</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17.42</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79</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37.80</w:t>
      </w:r>
      <w:r>
        <w:rPr>
          <w:rFonts w:hint="eastAsia" w:ascii="仿宋" w:hAnsi="仿宋" w:eastAsia="仿宋" w:cs="仿宋"/>
          <w:sz w:val="28"/>
          <w:szCs w:val="28"/>
        </w:rPr>
        <w:t>%。</w:t>
      </w:r>
      <w:r>
        <w:rPr>
          <w:rFonts w:hint="eastAsia" w:ascii="仿宋" w:hAnsi="仿宋" w:eastAsia="仿宋" w:cs="仿宋"/>
          <w:sz w:val="28"/>
          <w:szCs w:val="28"/>
          <w:lang w:val="en-US" w:eastAsia="zh-CN"/>
        </w:rPr>
        <w:t>其中SCIE收录论文195篇，占论文总数的93.30%；SSCI收录论文7篇；ESCI收录论文4篇。</w:t>
      </w:r>
      <w:r>
        <w:rPr>
          <w:rFonts w:hint="eastAsia" w:ascii="仿宋" w:hAnsi="仿宋" w:eastAsia="仿宋" w:cs="仿宋"/>
          <w:sz w:val="28"/>
          <w:szCs w:val="28"/>
        </w:rPr>
        <w:t>（见表</w:t>
      </w:r>
      <w:r>
        <w:rPr>
          <w:rFonts w:hint="eastAsia" w:ascii="仿宋" w:hAnsi="仿宋" w:eastAsia="仿宋" w:cs="仿宋"/>
          <w:sz w:val="28"/>
          <w:szCs w:val="28"/>
          <w:lang w:val="en-US" w:eastAsia="zh-CN"/>
        </w:rPr>
        <w:t>6和图6</w:t>
      </w:r>
      <w:r>
        <w:rPr>
          <w:rFonts w:hint="eastAsia" w:ascii="仿宋" w:hAnsi="仿宋" w:eastAsia="仿宋" w:cs="仿宋"/>
          <w:sz w:val="28"/>
          <w:szCs w:val="28"/>
        </w:rPr>
        <w:t>）。</w:t>
      </w:r>
    </w:p>
    <w:p>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2023年国外</w:t>
      </w:r>
      <w:r>
        <w:rPr>
          <w:rFonts w:hint="eastAsia" w:ascii="仿宋" w:hAnsi="仿宋" w:eastAsia="仿宋" w:cs="仿宋"/>
          <w:b/>
          <w:bCs/>
          <w:color w:val="000000"/>
          <w:kern w:val="0"/>
          <w:sz w:val="24"/>
          <w:szCs w:val="24"/>
          <w:lang w:bidi="ar"/>
        </w:rPr>
        <w:t>期刊发文情况统计表</w:t>
      </w:r>
    </w:p>
    <w:tbl>
      <w:tblPr>
        <w:tblStyle w:val="4"/>
        <w:tblW w:w="4998" w:type="pct"/>
        <w:jc w:val="center"/>
        <w:tblLayout w:type="autofit"/>
        <w:tblCellMar>
          <w:top w:w="15" w:type="dxa"/>
          <w:left w:w="15" w:type="dxa"/>
          <w:bottom w:w="15" w:type="dxa"/>
          <w:right w:w="15" w:type="dxa"/>
        </w:tblCellMar>
      </w:tblPr>
      <w:tblGrid>
        <w:gridCol w:w="2718"/>
        <w:gridCol w:w="2831"/>
        <w:gridCol w:w="2784"/>
      </w:tblGrid>
      <w:tr>
        <w:tblPrEx>
          <w:tblCellMar>
            <w:top w:w="15" w:type="dxa"/>
            <w:left w:w="15" w:type="dxa"/>
            <w:bottom w:w="15" w:type="dxa"/>
            <w:right w:w="15" w:type="dxa"/>
          </w:tblCellMar>
        </w:tblPrEx>
        <w:trPr>
          <w:trHeight w:val="725"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67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2023年1月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2023年2月</w:t>
            </w:r>
          </w:p>
        </w:tc>
        <w:tc>
          <w:tcPr>
            <w:tcW w:w="16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1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2023年3月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2023年4月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bookmarkStart w:id="45" w:name="_Toc24142"/>
            <w:r>
              <w:rPr>
                <w:rFonts w:hint="eastAsia" w:ascii="仿宋" w:hAnsi="仿宋" w:eastAsia="仿宋" w:cs="仿宋"/>
                <w:i w:val="0"/>
                <w:iCs w:val="0"/>
                <w:color w:val="000000"/>
                <w:kern w:val="0"/>
                <w:sz w:val="24"/>
                <w:szCs w:val="24"/>
                <w:u w:val="none"/>
                <w:lang w:val="en-US" w:eastAsia="zh-CN" w:bidi="ar"/>
              </w:rPr>
              <w:t>2023年5月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2023年6月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2023年7月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2023年8月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2023年9月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2023年10月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2023年11月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2023年12月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Style w:val="11"/>
                <w:lang w:val="en-US" w:eastAsia="zh-CN" w:bidi="ar"/>
              </w:rPr>
              <w:t>总计</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209</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79</w:t>
            </w:r>
          </w:p>
        </w:tc>
      </w:tr>
    </w:tbl>
    <w:p>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期刊发文</w:t>
      </w:r>
      <w:r>
        <w:rPr>
          <w:rFonts w:hint="eastAsia" w:ascii="仿宋" w:hAnsi="仿宋" w:eastAsia="仿宋" w:cs="仿宋"/>
          <w:b/>
          <w:bCs/>
          <w:color w:val="000000"/>
          <w:kern w:val="0"/>
          <w:sz w:val="24"/>
          <w:szCs w:val="24"/>
          <w:lang w:val="en-US" w:eastAsia="zh-CN" w:bidi="ar"/>
        </w:rPr>
        <w:t>统计</w:t>
      </w:r>
    </w:p>
    <w:p>
      <w:pPr>
        <w:numPr>
          <w:ilvl w:val="0"/>
          <w:numId w:val="0"/>
        </w:numPr>
        <w:spacing w:line="600" w:lineRule="auto"/>
        <w:jc w:val="center"/>
      </w:pPr>
      <w:r>
        <w:drawing>
          <wp:inline distT="0" distB="0" distL="114300" distR="114300">
            <wp:extent cx="4826000" cy="2743200"/>
            <wp:effectExtent l="4445" t="4445" r="825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spacing w:line="360" w:lineRule="auto"/>
        <w:jc w:val="both"/>
        <w:rPr>
          <w:rFonts w:hint="eastAsia"/>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46" w:name="_Toc285"/>
      <w:r>
        <w:rPr>
          <w:rFonts w:hint="eastAsia" w:ascii="仿宋" w:hAnsi="仿宋" w:eastAsia="仿宋" w:cs="仿宋"/>
          <w:b/>
          <w:bCs/>
          <w:sz w:val="30"/>
          <w:szCs w:val="30"/>
          <w:lang w:val="en-US" w:eastAsia="zh-CN"/>
        </w:rPr>
        <w:t>2.学科分析</w:t>
      </w:r>
      <w:bookmarkEnd w:id="45"/>
      <w:bookmarkEnd w:id="46"/>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发文量超过五篇的有24个学科，发文量超过10篇的有10个学科，其中</w:t>
      </w:r>
      <w:r>
        <w:rPr>
          <w:rFonts w:hint="eastAsia" w:ascii="仿宋" w:hAnsi="仿宋" w:eastAsia="仿宋" w:cs="仿宋"/>
          <w:i w:val="0"/>
          <w:color w:val="000000"/>
          <w:kern w:val="0"/>
          <w:sz w:val="22"/>
          <w:szCs w:val="22"/>
          <w:u w:val="none"/>
          <w:lang w:val="en-US" w:eastAsia="zh-CN" w:bidi="ar"/>
        </w:rPr>
        <w:t>Food Science &amp; Technology、</w:t>
      </w:r>
      <w:r>
        <w:rPr>
          <w:rFonts w:hint="default" w:ascii="仿宋" w:hAnsi="仿宋" w:eastAsia="仿宋" w:cs="仿宋"/>
          <w:i w:val="0"/>
          <w:color w:val="000000"/>
          <w:kern w:val="0"/>
          <w:sz w:val="22"/>
          <w:szCs w:val="22"/>
          <w:u w:val="none"/>
          <w:lang w:val="en-US" w:eastAsia="zh-CN" w:bidi="ar"/>
        </w:rPr>
        <w:t>Plant Sciences</w:t>
      </w:r>
      <w:r>
        <w:rPr>
          <w:rFonts w:hint="eastAsia" w:ascii="仿宋" w:hAnsi="仿宋" w:eastAsia="仿宋" w:cs="仿宋"/>
          <w:i w:val="0"/>
          <w:color w:val="000000"/>
          <w:kern w:val="0"/>
          <w:sz w:val="22"/>
          <w:szCs w:val="22"/>
          <w:u w:val="none"/>
          <w:lang w:val="en-US" w:eastAsia="zh-CN" w:bidi="ar"/>
        </w:rPr>
        <w:t>、</w:t>
      </w:r>
      <w:r>
        <w:rPr>
          <w:rFonts w:hint="default" w:ascii="仿宋" w:hAnsi="仿宋" w:eastAsia="仿宋" w:cs="仿宋"/>
          <w:i w:val="0"/>
          <w:color w:val="000000"/>
          <w:kern w:val="0"/>
          <w:sz w:val="22"/>
          <w:szCs w:val="22"/>
          <w:u w:val="none"/>
          <w:lang w:val="en-US" w:eastAsia="zh-CN" w:bidi="ar"/>
        </w:rPr>
        <w:t>Chemistry, Multidisciplinary</w:t>
      </w:r>
      <w:r>
        <w:rPr>
          <w:rFonts w:hint="eastAsia" w:ascii="仿宋" w:hAnsi="仿宋" w:eastAsia="仿宋" w:cs="仿宋"/>
          <w:i w:val="0"/>
          <w:color w:val="000000"/>
          <w:kern w:val="0"/>
          <w:sz w:val="22"/>
          <w:szCs w:val="22"/>
          <w:u w:val="none"/>
          <w:lang w:val="en-US" w:eastAsia="zh-CN" w:bidi="ar"/>
        </w:rPr>
        <w:t>、Materials Science, Multidisciplinary</w:t>
      </w:r>
      <w:r>
        <w:rPr>
          <w:rFonts w:hint="eastAsia" w:ascii="仿宋" w:hAnsi="仿宋" w:eastAsia="仿宋" w:cs="仿宋"/>
          <w:sz w:val="28"/>
          <w:szCs w:val="28"/>
          <w:lang w:val="en-US" w:eastAsia="zh-CN"/>
        </w:rPr>
        <w:t>学科发文较多，详见表7。</w:t>
      </w:r>
    </w:p>
    <w:p>
      <w:pPr>
        <w:spacing w:line="60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27</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25</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7" w:name="_Toc14746"/>
            <w:r>
              <w:rPr>
                <w:rFonts w:hint="eastAsia" w:ascii="仿宋" w:hAnsi="仿宋" w:eastAsia="仿宋" w:cs="仿宋"/>
                <w:i w:val="0"/>
                <w:color w:val="000000"/>
                <w:kern w:val="0"/>
                <w:sz w:val="22"/>
                <w:szCs w:val="22"/>
                <w:u w:val="none"/>
                <w:lang w:val="en-US" w:eastAsia="zh-CN" w:bidi="ar"/>
              </w:rPr>
              <w:t>3</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19</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19</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Horticulture</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Physical</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2898"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Nanoscience &amp; Nanotechnology</w:t>
            </w:r>
          </w:p>
        </w:tc>
        <w:tc>
          <w:tcPr>
            <w:tcW w:w="138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bl>
    <w:p>
      <w:pPr>
        <w:numPr>
          <w:ilvl w:val="0"/>
          <w:numId w:val="0"/>
        </w:numPr>
        <w:spacing w:line="360" w:lineRule="auto"/>
        <w:ind w:leftChars="0"/>
        <w:jc w:val="both"/>
        <w:outlineLvl w:val="1"/>
        <w:rPr>
          <w:rFonts w:hint="eastAsia" w:ascii="仿宋" w:hAnsi="仿宋" w:eastAsia="仿宋" w:cs="仿宋"/>
          <w:b/>
          <w:bCs/>
          <w:sz w:val="30"/>
          <w:szCs w:val="30"/>
          <w:lang w:val="en-US" w:eastAsia="zh-CN"/>
        </w:rPr>
      </w:pPr>
      <w:bookmarkStart w:id="48" w:name="_Toc9995"/>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7"/>
      <w:bookmarkEnd w:id="48"/>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综合分析2023年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发文量超过五篇的有15个研究方向，发文量超过10篇的有11个研究方向，其中</w:t>
      </w:r>
      <w:r>
        <w:rPr>
          <w:rFonts w:hint="default" w:ascii="仿宋" w:hAnsi="仿宋" w:eastAsia="仿宋" w:cs="仿宋"/>
          <w:i w:val="0"/>
          <w:color w:val="000000"/>
          <w:kern w:val="0"/>
          <w:sz w:val="22"/>
          <w:szCs w:val="22"/>
          <w:u w:val="none"/>
          <w:lang w:val="en-US" w:eastAsia="zh-CN" w:bidi="ar"/>
        </w:rPr>
        <w:t>Chemistry</w:t>
      </w:r>
      <w:r>
        <w:rPr>
          <w:rFonts w:hint="eastAsia" w:ascii="仿宋" w:hAnsi="仿宋" w:eastAsia="仿宋" w:cs="仿宋"/>
          <w:i w:val="0"/>
          <w:color w:val="000000"/>
          <w:kern w:val="0"/>
          <w:sz w:val="22"/>
          <w:szCs w:val="22"/>
          <w:u w:val="none"/>
          <w:lang w:val="en-US" w:eastAsia="zh-CN" w:bidi="ar"/>
        </w:rPr>
        <w:t>、</w:t>
      </w:r>
      <w:r>
        <w:rPr>
          <w:rFonts w:hint="default" w:ascii="仿宋" w:hAnsi="仿宋" w:eastAsia="仿宋" w:cs="仿宋"/>
          <w:i w:val="0"/>
          <w:color w:val="000000"/>
          <w:kern w:val="0"/>
          <w:sz w:val="22"/>
          <w:szCs w:val="22"/>
          <w:u w:val="none"/>
          <w:lang w:val="en-US" w:eastAsia="zh-CN" w:bidi="ar"/>
        </w:rPr>
        <w:t>Food Science &amp; Technology</w:t>
      </w:r>
      <w:r>
        <w:rPr>
          <w:rFonts w:hint="eastAsia" w:ascii="仿宋" w:hAnsi="仿宋" w:eastAsia="仿宋" w:cs="仿宋"/>
          <w:i w:val="0"/>
          <w:color w:val="000000"/>
          <w:kern w:val="0"/>
          <w:sz w:val="22"/>
          <w:szCs w:val="22"/>
          <w:u w:val="none"/>
          <w:lang w:val="en-US" w:eastAsia="zh-CN" w:bidi="ar"/>
        </w:rPr>
        <w:t>、</w:t>
      </w:r>
      <w:r>
        <w:rPr>
          <w:rFonts w:hint="default" w:ascii="仿宋" w:hAnsi="仿宋" w:eastAsia="仿宋" w:cs="仿宋"/>
          <w:i w:val="0"/>
          <w:color w:val="000000"/>
          <w:kern w:val="0"/>
          <w:sz w:val="22"/>
          <w:szCs w:val="22"/>
          <w:u w:val="none"/>
          <w:lang w:val="en-US" w:eastAsia="zh-CN" w:bidi="ar"/>
        </w:rPr>
        <w:t>Agriculture</w:t>
      </w:r>
      <w:r>
        <w:rPr>
          <w:rFonts w:hint="eastAsia" w:ascii="仿宋" w:hAnsi="仿宋" w:eastAsia="仿宋" w:cs="仿宋"/>
          <w:i w:val="0"/>
          <w:color w:val="000000"/>
          <w:kern w:val="0"/>
          <w:sz w:val="22"/>
          <w:szCs w:val="22"/>
          <w:u w:val="none"/>
          <w:lang w:val="en-US" w:eastAsia="zh-CN" w:bidi="ar"/>
        </w:rPr>
        <w:t>、Plant Sciences</w:t>
      </w:r>
      <w:r>
        <w:rPr>
          <w:rFonts w:hint="eastAsia" w:ascii="仿宋" w:hAnsi="仿宋" w:eastAsia="仿宋" w:cs="仿宋"/>
          <w:sz w:val="28"/>
          <w:szCs w:val="28"/>
          <w:lang w:val="en-US" w:eastAsia="zh-CN"/>
        </w:rPr>
        <w:t>等研究方向分别发文量较高，详见表8。</w:t>
      </w:r>
    </w:p>
    <w:p>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27</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26</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24</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16</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 &amp; Ecology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bl>
    <w:p>
      <w:pPr>
        <w:numPr>
          <w:ilvl w:val="0"/>
          <w:numId w:val="0"/>
        </w:numPr>
        <w:spacing w:line="360" w:lineRule="auto"/>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9" w:name="_Toc32538"/>
      <w:bookmarkStart w:id="50" w:name="_Toc18229"/>
      <w:r>
        <w:rPr>
          <w:rFonts w:hint="eastAsia" w:ascii="仿宋" w:hAnsi="仿宋" w:eastAsia="仿宋" w:cs="仿宋"/>
          <w:b/>
          <w:bCs/>
          <w:sz w:val="30"/>
          <w:szCs w:val="30"/>
          <w:lang w:val="en-US" w:eastAsia="zh-CN"/>
        </w:rPr>
        <w:t>4.文献来源分析</w:t>
      </w:r>
      <w:bookmarkEnd w:id="49"/>
      <w:bookmarkEnd w:id="50"/>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综合分析2023年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文献来源共计154种，发文超过两篇的期刊共33种，发文超过四篇的期刊共4种，</w:t>
      </w:r>
      <w:r>
        <w:rPr>
          <w:rFonts w:hint="eastAsia" w:ascii="仿宋" w:hAnsi="仿宋" w:eastAsia="仿宋" w:cs="仿宋"/>
          <w:b w:val="0"/>
          <w:bCs w:val="0"/>
          <w:sz w:val="28"/>
          <w:szCs w:val="28"/>
          <w:lang w:val="en-US" w:eastAsia="zh-CN"/>
        </w:rPr>
        <w:t>发表论文最多的刊物是《</w:t>
      </w:r>
      <w:r>
        <w:rPr>
          <w:rFonts w:hint="default" w:ascii="仿宋" w:hAnsi="仿宋" w:eastAsia="仿宋" w:cs="仿宋"/>
          <w:i w:val="0"/>
          <w:color w:val="000000"/>
          <w:kern w:val="0"/>
          <w:sz w:val="24"/>
          <w:szCs w:val="24"/>
          <w:u w:val="none"/>
          <w:lang w:val="en-US" w:eastAsia="zh-CN" w:bidi="ar"/>
        </w:rPr>
        <w:t>FRONTIERS IN PLANT SCIENCE</w:t>
      </w:r>
      <w:r>
        <w:rPr>
          <w:rFonts w:hint="eastAsia" w:ascii="仿宋" w:hAnsi="仿宋" w:eastAsia="仿宋" w:cs="仿宋"/>
          <w:b w:val="0"/>
          <w:bCs w:val="0"/>
          <w:sz w:val="28"/>
          <w:szCs w:val="28"/>
          <w:lang w:val="en-US" w:eastAsia="zh-CN"/>
        </w:rPr>
        <w:t>》，发文11篇。</w:t>
      </w:r>
      <w:r>
        <w:rPr>
          <w:rFonts w:hint="eastAsia" w:ascii="仿宋" w:hAnsi="仿宋" w:eastAsia="仿宋" w:cs="仿宋"/>
          <w:sz w:val="28"/>
          <w:szCs w:val="28"/>
          <w:lang w:val="en-US" w:eastAsia="zh-CN"/>
        </w:rPr>
        <w:t>（详见表9）。</w:t>
      </w:r>
    </w:p>
    <w:p>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fixed"/>
        <w:tblCellMar>
          <w:top w:w="0" w:type="dxa"/>
          <w:left w:w="0" w:type="dxa"/>
          <w:bottom w:w="0" w:type="dxa"/>
          <w:right w:w="0" w:type="dxa"/>
        </w:tblCellMar>
      </w:tblPr>
      <w:tblGrid>
        <w:gridCol w:w="592"/>
        <w:gridCol w:w="3104"/>
        <w:gridCol w:w="840"/>
        <w:gridCol w:w="1545"/>
        <w:gridCol w:w="1125"/>
        <w:gridCol w:w="1127"/>
      </w:tblGrid>
      <w:tr>
        <w:tblPrEx>
          <w:shd w:val="clear" w:color="auto" w:fill="auto"/>
        </w:tblPrEx>
        <w:trPr>
          <w:trHeight w:val="499" w:hRule="atLeast"/>
        </w:trPr>
        <w:tc>
          <w:tcPr>
            <w:tcW w:w="35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8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50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92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67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c>
          <w:tcPr>
            <w:tcW w:w="67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大类学科</w:t>
            </w:r>
          </w:p>
        </w:tc>
      </w:tr>
      <w:tr>
        <w:tblPrEx>
          <w:shd w:val="clear" w:color="auto" w:fill="auto"/>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PLANT SCIENCE</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5.6</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生物</w:t>
            </w:r>
          </w:p>
        </w:tc>
      </w:tr>
      <w:tr>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FOODS</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0.1</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农林科学</w:t>
            </w:r>
          </w:p>
        </w:tc>
      </w:tr>
      <w:tr>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MOLECULES</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4.6</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化学</w:t>
            </w:r>
          </w:p>
        </w:tc>
      </w:tr>
      <w:tr>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DYNA</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Q4</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交叉工程</w:t>
            </w:r>
          </w:p>
        </w:tc>
      </w:tr>
      <w:tr>
        <w:tblPrEx>
          <w:shd w:val="clear" w:color="auto" w:fill="auto"/>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VETERINARY SCIENCE</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0.1</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农林科学</w:t>
            </w:r>
          </w:p>
        </w:tc>
      </w:tr>
      <w:tr>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POSTHARVEST BIOLOGY AND TECHNOLOGY</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r>
              <w:rPr>
                <w:rFonts w:hint="eastAsia" w:ascii="仿宋" w:hAnsi="仿宋" w:eastAsia="仿宋" w:cs="仿宋"/>
                <w:i w:val="0"/>
                <w:color w:val="000000"/>
                <w:kern w:val="0"/>
                <w:sz w:val="22"/>
                <w:szCs w:val="22"/>
                <w:u w:val="none"/>
                <w:lang w:val="en-US" w:eastAsia="zh-CN" w:bidi="ar"/>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农林科学</w:t>
            </w:r>
          </w:p>
        </w:tc>
      </w:tr>
      <w:tr>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RUSSIAN JOURNAL OF GENERAL CHEMISTRY</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0.9</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Q4</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化学</w:t>
            </w:r>
          </w:p>
        </w:tc>
      </w:tr>
      <w:tr>
        <w:tblPrEx>
          <w:shd w:val="clear" w:color="auto" w:fill="auto"/>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SCIENTIA HORTICULTURAE</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4.3</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农林科学</w:t>
            </w:r>
          </w:p>
        </w:tc>
      </w:tr>
      <w:tr>
        <w:tblPrEx>
          <w:shd w:val="clear" w:color="auto" w:fill="auto"/>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REPORTS</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4.6</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综合性期刊</w:t>
            </w:r>
          </w:p>
        </w:tc>
      </w:tr>
      <w:tr>
        <w:tblPrEx>
          <w:shd w:val="clear" w:color="auto" w:fill="auto"/>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SEPARATION AND PURIFICATION TECHNOLOGY</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8.6</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工程技术</w:t>
            </w:r>
          </w:p>
        </w:tc>
      </w:tr>
      <w:tr>
        <w:tblPrEx>
          <w:shd w:val="clear" w:color="auto" w:fill="auto"/>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SUSTAINABILITY</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3.9</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环境科学与生态学</w:t>
            </w:r>
          </w:p>
        </w:tc>
      </w:tr>
    </w:tbl>
    <w:p>
      <w:pPr>
        <w:numPr>
          <w:ilvl w:val="0"/>
          <w:numId w:val="0"/>
        </w:numPr>
        <w:jc w:val="both"/>
        <w:outlineLvl w:val="1"/>
        <w:rPr>
          <w:rFonts w:hint="eastAsia" w:ascii="仿宋" w:hAnsi="仿宋" w:eastAsia="仿宋" w:cs="仿宋"/>
          <w:b/>
          <w:bCs/>
          <w:sz w:val="30"/>
          <w:szCs w:val="30"/>
          <w:lang w:val="en-US" w:eastAsia="zh-CN"/>
        </w:rPr>
      </w:pPr>
      <w:bookmarkStart w:id="51" w:name="_Toc26957"/>
      <w:bookmarkStart w:id="52" w:name="_Toc10459"/>
      <w:r>
        <w:rPr>
          <w:rFonts w:hint="eastAsia" w:ascii="仿宋" w:hAnsi="仿宋" w:eastAsia="仿宋" w:cs="仿宋"/>
          <w:b/>
          <w:bCs/>
          <w:sz w:val="30"/>
          <w:szCs w:val="30"/>
          <w:lang w:val="en-US" w:eastAsia="zh-CN"/>
        </w:rPr>
        <w:t>5.作者分析</w:t>
      </w:r>
      <w:bookmarkEnd w:id="51"/>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发文3篇以上的有21人，发文10篇以上的有5人，详见表10。</w:t>
      </w:r>
    </w:p>
    <w:p>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统计表</w:t>
      </w:r>
    </w:p>
    <w:tbl>
      <w:tblPr>
        <w:tblStyle w:val="4"/>
        <w:tblW w:w="4982" w:type="pct"/>
        <w:tblInd w:w="0" w:type="dxa"/>
        <w:shd w:val="clear" w:color="auto" w:fill="auto"/>
        <w:tblLayout w:type="autofit"/>
        <w:tblCellMar>
          <w:top w:w="0" w:type="dxa"/>
          <w:left w:w="0" w:type="dxa"/>
          <w:bottom w:w="0" w:type="dxa"/>
          <w:right w:w="0" w:type="dxa"/>
        </w:tblCellMar>
      </w:tblPr>
      <w:tblGrid>
        <w:gridCol w:w="941"/>
        <w:gridCol w:w="2596"/>
        <w:gridCol w:w="1027"/>
        <w:gridCol w:w="3742"/>
      </w:tblGrid>
      <w:tr>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5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25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15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Suwen</w:t>
            </w:r>
          </w:p>
        </w:tc>
        <w:tc>
          <w:tcPr>
            <w:tcW w:w="6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c>
          <w:tcPr>
            <w:tcW w:w="225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r>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156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 Kai</w:t>
            </w:r>
          </w:p>
        </w:tc>
        <w:tc>
          <w:tcPr>
            <w:tcW w:w="61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c>
          <w:tcPr>
            <w:tcW w:w="22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15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Yu, Liyang</w:t>
            </w:r>
          </w:p>
        </w:tc>
        <w:tc>
          <w:tcPr>
            <w:tcW w:w="6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25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板栗研究中心</w:t>
            </w:r>
          </w:p>
        </w:tc>
      </w:tr>
      <w:tr>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56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Cui, Haonan</w:t>
            </w:r>
          </w:p>
        </w:tc>
        <w:tc>
          <w:tcPr>
            <w:tcW w:w="61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22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5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Zou, Jing</w:t>
            </w:r>
          </w:p>
        </w:tc>
        <w:tc>
          <w:tcPr>
            <w:tcW w:w="6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225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bCs/>
          <w:sz w:val="30"/>
          <w:szCs w:val="30"/>
          <w:lang w:val="en-US" w:eastAsia="zh-CN"/>
        </w:rPr>
      </w:pPr>
      <w:bookmarkStart w:id="53" w:name="_Toc4595"/>
      <w:bookmarkStart w:id="54" w:name="_Toc255"/>
      <w:bookmarkStart w:id="55" w:name="_Toc316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6.合作单位分析</w:t>
      </w:r>
      <w:bookmarkEnd w:id="53"/>
      <w:bookmarkEnd w:id="54"/>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，合作发文超过5篇的合作单位有20个，合作发文超过10篇的合作单位有7个，其中合作发文最多的是</w:t>
      </w:r>
      <w:r>
        <w:rPr>
          <w:rFonts w:hint="eastAsia" w:ascii="仿宋" w:hAnsi="仿宋" w:eastAsia="仿宋" w:cs="仿宋"/>
          <w:b w:val="0"/>
          <w:bCs w:val="0"/>
          <w:sz w:val="22"/>
          <w:szCs w:val="22"/>
          <w:lang w:val="en-US" w:eastAsia="zh-CN"/>
        </w:rPr>
        <w:t>Yanshan University</w:t>
      </w:r>
      <w:r>
        <w:rPr>
          <w:rFonts w:hint="eastAsia" w:ascii="仿宋" w:hAnsi="仿宋" w:eastAsia="仿宋" w:cs="仿宋"/>
          <w:b w:val="0"/>
          <w:bCs w:val="0"/>
          <w:sz w:val="28"/>
          <w:szCs w:val="28"/>
          <w:lang w:val="en-US" w:eastAsia="zh-CN"/>
        </w:rPr>
        <w:t>，合作发文30篇，具体分布见图7。</w:t>
      </w:r>
    </w:p>
    <w:p>
      <w:p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pPr>
        <w:spacing w:line="600" w:lineRule="auto"/>
        <w:jc w:val="center"/>
      </w:pPr>
      <w:r>
        <w:drawing>
          <wp:inline distT="0" distB="0" distL="114300" distR="114300">
            <wp:extent cx="4098925" cy="2188210"/>
            <wp:effectExtent l="4445" t="4445" r="11430" b="17145"/>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56" w:name="_Toc17997"/>
    </w:p>
    <w:p>
      <w:pPr>
        <w:spacing w:line="600" w:lineRule="auto"/>
        <w:jc w:val="left"/>
        <w:rPr>
          <w:rFonts w:hint="eastAsia" w:ascii="仿宋" w:hAnsi="仿宋" w:eastAsia="仿宋" w:cs="仿宋"/>
          <w:b/>
          <w:bCs/>
          <w:sz w:val="30"/>
          <w:szCs w:val="30"/>
          <w:highlight w:val="none"/>
          <w:lang w:val="en-US" w:eastAsia="zh-CN"/>
        </w:rPr>
      </w:pPr>
      <w:r>
        <w:rPr>
          <w:rFonts w:hint="eastAsia" w:ascii="仿宋" w:hAnsi="仿宋" w:eastAsia="仿宋" w:cs="仿宋"/>
          <w:b/>
          <w:bCs/>
          <w:sz w:val="30"/>
          <w:szCs w:val="30"/>
          <w:highlight w:val="none"/>
          <w:lang w:val="en-US" w:eastAsia="zh-CN"/>
        </w:rPr>
        <w:t>7.基金分析</w:t>
      </w:r>
      <w:bookmarkEnd w:id="55"/>
      <w:bookmarkEnd w:id="56"/>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综合分析2023年国外公开发表的209篇论文中，基金资助超过五篇文章的有11个，其中资助文献最多的基金是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4"/>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tblPrEx>
          <w:shd w:val="clear" w:color="auto" w:fill="auto"/>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65</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26</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16</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Key Research and Development Plan of Hebei Province</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Natural Science Foundation</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9</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Agriculture Research System</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 Program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and Technology Project of Hebei Education Department</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Research Foundation of Hebei Normal University of Science and Technology</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Postdoctoral Science Foundation</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bl>
    <w:p>
      <w:pPr>
        <w:numPr>
          <w:ilvl w:val="0"/>
          <w:numId w:val="0"/>
        </w:numPr>
        <w:spacing w:line="360" w:lineRule="auto"/>
        <w:ind w:leftChars="0"/>
        <w:jc w:val="both"/>
        <w:outlineLvl w:val="1"/>
        <w:rPr>
          <w:rFonts w:hint="eastAsia" w:ascii="仿宋" w:hAnsi="仿宋" w:eastAsia="仿宋" w:cs="仿宋"/>
          <w:b/>
          <w:bCs/>
          <w:sz w:val="30"/>
          <w:szCs w:val="30"/>
          <w:lang w:val="en-US" w:eastAsia="zh-CN"/>
        </w:rPr>
      </w:pPr>
      <w:bookmarkStart w:id="57" w:name="_Toc6044"/>
      <w:bookmarkStart w:id="58" w:name="_Toc26632"/>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8.被引分析</w:t>
      </w:r>
      <w:bookmarkEnd w:id="57"/>
      <w:bookmarkEnd w:id="58"/>
    </w:p>
    <w:p>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综合分析2023年国外公开发表的209篇论文中，被引次数超过5次的有20篇，被引次数超过10次的有5篇，具体分布见表12。</w:t>
      </w:r>
    </w:p>
    <w:p>
      <w:pPr>
        <w:numPr>
          <w:ilvl w:val="0"/>
          <w:numId w:val="0"/>
        </w:numPr>
        <w:spacing w:line="600" w:lineRule="auto"/>
        <w:ind w:firstLine="964" w:firstLineChars="400"/>
        <w:jc w:val="left"/>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2023年国外发文被引频次</w:t>
      </w:r>
      <w:r>
        <w:rPr>
          <w:rFonts w:hint="eastAsia" w:ascii="仿宋" w:hAnsi="仿宋" w:eastAsia="仿宋" w:cs="仿宋"/>
          <w:b/>
          <w:bCs/>
          <w:color w:val="000000"/>
          <w:kern w:val="0"/>
          <w:sz w:val="24"/>
          <w:szCs w:val="24"/>
          <w:lang w:bidi="ar"/>
        </w:rPr>
        <w:t>统计表</w:t>
      </w:r>
    </w:p>
    <w:tbl>
      <w:tblPr>
        <w:tblStyle w:val="4"/>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Sustainable polymer coating for stainproof fabrics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AUG</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Fu, Chengyu; Wang, Zhengge; Gao, Yingtao; Zhao, Jian; Liu, Yongchun; Zhou, Xingyu; Qin, Rongrong; Pang, Yanyun; Hu, Bowen; Zhang, Yingying; Nan, Songpei; Zhang, Jinrui; Zhang, Xu; Yang, Peng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14</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Effectiveness of virtual reality games in improving physical function, balance and reducing falls in balance-impaired older adults: A systematic review and meta-analysis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Ren, Yuanyuan; Lin, Chenli; Zhou, Qin; Yingyuan, Zhang; Wang, Guodong; Lu, Aming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Internet of things intrusion detection model and algorithm based on cloud computing and multi-feature extraction extreme learning machine</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Lin, Haifeng; Xue, Qilin; Feng, Jiayin; Bai, Di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CsTRM5 regulates fruit shape via mediating cell division direction and cell expansion in cucumber</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MAR</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Xie, Yang; Liu, Xiaofeng; Sun, Chengzhen; Song, Xiaofei; Li, Xiaoli; Cui, Haonan; Guo, Jingyu; Liu, Liu; Ying, Ao; Zhang, Zeqin; Zhu, Xueyun; Yan, Liying; Zhang, Xiaolan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Combination of 1-methylcyclopropene and phytic acid inhibits surface browning and maintains texture and aroma of fresh-cut peaches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JUN</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Jiang, Yuqian; Wang, Xiaodong; Li, Xuejin; Wang, Zhaoyuan; Wang, Haifen; Li, Wenhan; Liu, Tao; Li, Xihong; Jiang, Yunbin; Tang, Yao</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10</w:t>
            </w:r>
          </w:p>
        </w:tc>
      </w:tr>
    </w:tbl>
    <w:p>
      <w:pPr>
        <w:spacing w:line="480" w:lineRule="auto"/>
        <w:jc w:val="center"/>
        <w:rPr>
          <w:rFonts w:hint="eastAsia"/>
        </w:rPr>
      </w:pPr>
    </w:p>
    <w:p>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000000"/>
    <w:rsid w:val="007A460D"/>
    <w:rsid w:val="00FA4321"/>
    <w:rsid w:val="021C5F9F"/>
    <w:rsid w:val="02734BE5"/>
    <w:rsid w:val="02F868C8"/>
    <w:rsid w:val="03601D9E"/>
    <w:rsid w:val="038A7F2F"/>
    <w:rsid w:val="03980D99"/>
    <w:rsid w:val="0495645F"/>
    <w:rsid w:val="04B857C2"/>
    <w:rsid w:val="05793C8D"/>
    <w:rsid w:val="06115808"/>
    <w:rsid w:val="06377034"/>
    <w:rsid w:val="070B125C"/>
    <w:rsid w:val="074C2D13"/>
    <w:rsid w:val="07EC7777"/>
    <w:rsid w:val="08065CD1"/>
    <w:rsid w:val="084F50EE"/>
    <w:rsid w:val="087C5B35"/>
    <w:rsid w:val="089F2635"/>
    <w:rsid w:val="08AE1213"/>
    <w:rsid w:val="0BE50CCE"/>
    <w:rsid w:val="0BF1297F"/>
    <w:rsid w:val="0C63422A"/>
    <w:rsid w:val="0C801769"/>
    <w:rsid w:val="0CAE6912"/>
    <w:rsid w:val="0CBA79A3"/>
    <w:rsid w:val="0D3B0F42"/>
    <w:rsid w:val="0DFA5B87"/>
    <w:rsid w:val="105C4F4C"/>
    <w:rsid w:val="10634615"/>
    <w:rsid w:val="124D4CF1"/>
    <w:rsid w:val="12A66605"/>
    <w:rsid w:val="13105886"/>
    <w:rsid w:val="13136B57"/>
    <w:rsid w:val="13177B69"/>
    <w:rsid w:val="139416D0"/>
    <w:rsid w:val="13987AF7"/>
    <w:rsid w:val="13E72709"/>
    <w:rsid w:val="13F412D5"/>
    <w:rsid w:val="144964D4"/>
    <w:rsid w:val="157B3785"/>
    <w:rsid w:val="157F3E5B"/>
    <w:rsid w:val="158A52FB"/>
    <w:rsid w:val="172A128B"/>
    <w:rsid w:val="173C4B1A"/>
    <w:rsid w:val="17874709"/>
    <w:rsid w:val="179B7A92"/>
    <w:rsid w:val="17AE6DE1"/>
    <w:rsid w:val="17EF60B3"/>
    <w:rsid w:val="1859745A"/>
    <w:rsid w:val="189561A4"/>
    <w:rsid w:val="1A10748B"/>
    <w:rsid w:val="1A372FAB"/>
    <w:rsid w:val="1A3A7A37"/>
    <w:rsid w:val="1A5873E9"/>
    <w:rsid w:val="1AED378A"/>
    <w:rsid w:val="1B2433E5"/>
    <w:rsid w:val="1C0520C8"/>
    <w:rsid w:val="1C65043A"/>
    <w:rsid w:val="1CE92B97"/>
    <w:rsid w:val="1D01483C"/>
    <w:rsid w:val="1D6D3C7F"/>
    <w:rsid w:val="1D9751D2"/>
    <w:rsid w:val="1DAB7B4F"/>
    <w:rsid w:val="211309FB"/>
    <w:rsid w:val="21536F14"/>
    <w:rsid w:val="21701F90"/>
    <w:rsid w:val="21B52099"/>
    <w:rsid w:val="22285904"/>
    <w:rsid w:val="22D30A28"/>
    <w:rsid w:val="23491031"/>
    <w:rsid w:val="23A743D7"/>
    <w:rsid w:val="23D63EB9"/>
    <w:rsid w:val="23EB5AD9"/>
    <w:rsid w:val="2431434C"/>
    <w:rsid w:val="243A2A05"/>
    <w:rsid w:val="243B793B"/>
    <w:rsid w:val="24DE0553"/>
    <w:rsid w:val="255043C5"/>
    <w:rsid w:val="25675458"/>
    <w:rsid w:val="2574384B"/>
    <w:rsid w:val="258043D9"/>
    <w:rsid w:val="259D19CE"/>
    <w:rsid w:val="26492636"/>
    <w:rsid w:val="26540FE6"/>
    <w:rsid w:val="26993D37"/>
    <w:rsid w:val="27F024B5"/>
    <w:rsid w:val="28256F59"/>
    <w:rsid w:val="284F7F4F"/>
    <w:rsid w:val="28B05E51"/>
    <w:rsid w:val="298E7BCC"/>
    <w:rsid w:val="299D4AAE"/>
    <w:rsid w:val="29C206CB"/>
    <w:rsid w:val="2A1E1EF9"/>
    <w:rsid w:val="2AA607D0"/>
    <w:rsid w:val="2BE14535"/>
    <w:rsid w:val="2C0931A9"/>
    <w:rsid w:val="2C3D740F"/>
    <w:rsid w:val="2C4E6A07"/>
    <w:rsid w:val="2C7566AC"/>
    <w:rsid w:val="2DA37249"/>
    <w:rsid w:val="2DB62559"/>
    <w:rsid w:val="2DBD005A"/>
    <w:rsid w:val="2DFC690D"/>
    <w:rsid w:val="2EA978B4"/>
    <w:rsid w:val="2EEC47F6"/>
    <w:rsid w:val="300761B5"/>
    <w:rsid w:val="300D612B"/>
    <w:rsid w:val="30132E04"/>
    <w:rsid w:val="32ED1692"/>
    <w:rsid w:val="33471ADC"/>
    <w:rsid w:val="33962585"/>
    <w:rsid w:val="33B2468A"/>
    <w:rsid w:val="33EC74B8"/>
    <w:rsid w:val="34170ECB"/>
    <w:rsid w:val="34BC0E5B"/>
    <w:rsid w:val="351F601C"/>
    <w:rsid w:val="35294481"/>
    <w:rsid w:val="3542506A"/>
    <w:rsid w:val="36822AAD"/>
    <w:rsid w:val="36EC71F8"/>
    <w:rsid w:val="37A150FD"/>
    <w:rsid w:val="38914172"/>
    <w:rsid w:val="38D14B6E"/>
    <w:rsid w:val="39482DCD"/>
    <w:rsid w:val="39954FBC"/>
    <w:rsid w:val="39AE76A2"/>
    <w:rsid w:val="39F3557E"/>
    <w:rsid w:val="3AD35ADD"/>
    <w:rsid w:val="3B026781"/>
    <w:rsid w:val="3B5963D6"/>
    <w:rsid w:val="3BC1546A"/>
    <w:rsid w:val="3BF178BE"/>
    <w:rsid w:val="3C0F5F44"/>
    <w:rsid w:val="3C5D7B3F"/>
    <w:rsid w:val="3C8E6E90"/>
    <w:rsid w:val="3C8E78EF"/>
    <w:rsid w:val="3D1D5A1D"/>
    <w:rsid w:val="3D203C2F"/>
    <w:rsid w:val="3D2A1DB0"/>
    <w:rsid w:val="3D4F42AE"/>
    <w:rsid w:val="3DDC6D23"/>
    <w:rsid w:val="3E2264D4"/>
    <w:rsid w:val="3E520FD9"/>
    <w:rsid w:val="3EB72328"/>
    <w:rsid w:val="3F9337FC"/>
    <w:rsid w:val="411526F2"/>
    <w:rsid w:val="411B5796"/>
    <w:rsid w:val="415E1DD1"/>
    <w:rsid w:val="41EC3F7F"/>
    <w:rsid w:val="42312EBC"/>
    <w:rsid w:val="425F59DD"/>
    <w:rsid w:val="426F2679"/>
    <w:rsid w:val="428F1B50"/>
    <w:rsid w:val="43B92ECB"/>
    <w:rsid w:val="44A04AED"/>
    <w:rsid w:val="44BB4992"/>
    <w:rsid w:val="44F84B54"/>
    <w:rsid w:val="45391D99"/>
    <w:rsid w:val="455F624F"/>
    <w:rsid w:val="45E32462"/>
    <w:rsid w:val="462253F3"/>
    <w:rsid w:val="46325B29"/>
    <w:rsid w:val="463D7DE3"/>
    <w:rsid w:val="465310BD"/>
    <w:rsid w:val="46E04B89"/>
    <w:rsid w:val="473F5DDD"/>
    <w:rsid w:val="47CC406F"/>
    <w:rsid w:val="48032514"/>
    <w:rsid w:val="487C7B29"/>
    <w:rsid w:val="48C67666"/>
    <w:rsid w:val="493E1C29"/>
    <w:rsid w:val="497133E0"/>
    <w:rsid w:val="4B545E24"/>
    <w:rsid w:val="4C520FDB"/>
    <w:rsid w:val="4CA2111B"/>
    <w:rsid w:val="4CA42517"/>
    <w:rsid w:val="4CB84A17"/>
    <w:rsid w:val="4D1C7638"/>
    <w:rsid w:val="4D337FA5"/>
    <w:rsid w:val="4D416902"/>
    <w:rsid w:val="4DE4344D"/>
    <w:rsid w:val="4DE77106"/>
    <w:rsid w:val="4DEB6377"/>
    <w:rsid w:val="4E3B6DC4"/>
    <w:rsid w:val="4EE44282"/>
    <w:rsid w:val="4F644000"/>
    <w:rsid w:val="4F6876AA"/>
    <w:rsid w:val="4F7A187A"/>
    <w:rsid w:val="4FA01782"/>
    <w:rsid w:val="4FA80A13"/>
    <w:rsid w:val="4FF16129"/>
    <w:rsid w:val="5022272A"/>
    <w:rsid w:val="50A02F5B"/>
    <w:rsid w:val="51200A2D"/>
    <w:rsid w:val="521824EC"/>
    <w:rsid w:val="53133F1C"/>
    <w:rsid w:val="532C6A4B"/>
    <w:rsid w:val="53766CBE"/>
    <w:rsid w:val="547C45F3"/>
    <w:rsid w:val="54AC57C2"/>
    <w:rsid w:val="55366A71"/>
    <w:rsid w:val="55C45E2B"/>
    <w:rsid w:val="55D213BB"/>
    <w:rsid w:val="56492C8F"/>
    <w:rsid w:val="56B066E6"/>
    <w:rsid w:val="56D26326"/>
    <w:rsid w:val="58D73E50"/>
    <w:rsid w:val="58FB4CED"/>
    <w:rsid w:val="5A371B35"/>
    <w:rsid w:val="5AD016BC"/>
    <w:rsid w:val="5AEA48CD"/>
    <w:rsid w:val="5AED7BD2"/>
    <w:rsid w:val="5AF22D78"/>
    <w:rsid w:val="5B0E6539"/>
    <w:rsid w:val="5B8861B6"/>
    <w:rsid w:val="5C0936A1"/>
    <w:rsid w:val="5C1B6B35"/>
    <w:rsid w:val="5C8A2080"/>
    <w:rsid w:val="5CD32591"/>
    <w:rsid w:val="5D174C2A"/>
    <w:rsid w:val="5D7F24A9"/>
    <w:rsid w:val="5DD04B30"/>
    <w:rsid w:val="5E49292E"/>
    <w:rsid w:val="5F1D1882"/>
    <w:rsid w:val="612567C5"/>
    <w:rsid w:val="613E78D8"/>
    <w:rsid w:val="62416172"/>
    <w:rsid w:val="628801E0"/>
    <w:rsid w:val="62C27B96"/>
    <w:rsid w:val="632E5AE9"/>
    <w:rsid w:val="63BE65AF"/>
    <w:rsid w:val="63F0603D"/>
    <w:rsid w:val="64A37B23"/>
    <w:rsid w:val="64A92CB6"/>
    <w:rsid w:val="656C53A4"/>
    <w:rsid w:val="65F242EE"/>
    <w:rsid w:val="663E6ECE"/>
    <w:rsid w:val="665812FA"/>
    <w:rsid w:val="668755BF"/>
    <w:rsid w:val="66BA47AA"/>
    <w:rsid w:val="66E64663"/>
    <w:rsid w:val="67351044"/>
    <w:rsid w:val="67431B98"/>
    <w:rsid w:val="67551F07"/>
    <w:rsid w:val="67EB1A60"/>
    <w:rsid w:val="67FF3E86"/>
    <w:rsid w:val="680053D6"/>
    <w:rsid w:val="691213E4"/>
    <w:rsid w:val="69651CF1"/>
    <w:rsid w:val="69707C85"/>
    <w:rsid w:val="6AA42D73"/>
    <w:rsid w:val="6CC469C3"/>
    <w:rsid w:val="6CFB1689"/>
    <w:rsid w:val="6E3F6C09"/>
    <w:rsid w:val="6E5A4CE8"/>
    <w:rsid w:val="6E8647B0"/>
    <w:rsid w:val="6E8945AD"/>
    <w:rsid w:val="6FBF5509"/>
    <w:rsid w:val="6FF27051"/>
    <w:rsid w:val="703C172C"/>
    <w:rsid w:val="7051572C"/>
    <w:rsid w:val="70C23EE1"/>
    <w:rsid w:val="71502811"/>
    <w:rsid w:val="71C03CF8"/>
    <w:rsid w:val="71CA25C3"/>
    <w:rsid w:val="71DD4ABF"/>
    <w:rsid w:val="72C83180"/>
    <w:rsid w:val="736A01FF"/>
    <w:rsid w:val="748557B7"/>
    <w:rsid w:val="74D44379"/>
    <w:rsid w:val="74FC42B5"/>
    <w:rsid w:val="75BF7F65"/>
    <w:rsid w:val="75EB3220"/>
    <w:rsid w:val="770F010E"/>
    <w:rsid w:val="773D0EE8"/>
    <w:rsid w:val="7872538E"/>
    <w:rsid w:val="78B638A1"/>
    <w:rsid w:val="78ED0A33"/>
    <w:rsid w:val="7948293C"/>
    <w:rsid w:val="795D58E3"/>
    <w:rsid w:val="796D1924"/>
    <w:rsid w:val="79B416E2"/>
    <w:rsid w:val="7AC965FE"/>
    <w:rsid w:val="7AF13CC2"/>
    <w:rsid w:val="7B2C524A"/>
    <w:rsid w:val="7B537186"/>
    <w:rsid w:val="7BBD2EE9"/>
    <w:rsid w:val="7BC428BF"/>
    <w:rsid w:val="7C6932BF"/>
    <w:rsid w:val="7C9B7036"/>
    <w:rsid w:val="7CB3424D"/>
    <w:rsid w:val="7DDF3BA1"/>
    <w:rsid w:val="7DFC2D81"/>
    <w:rsid w:val="7E264696"/>
    <w:rsid w:val="7E5518B4"/>
    <w:rsid w:val="7E857F9E"/>
    <w:rsid w:val="7ED32A45"/>
    <w:rsid w:val="7FFE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autoRedefine/>
    <w:qFormat/>
    <w:uiPriority w:val="0"/>
  </w:style>
  <w:style w:type="paragraph" w:styleId="3">
    <w:name w:val="toc 2"/>
    <w:basedOn w:val="1"/>
    <w:next w:val="1"/>
    <w:qFormat/>
    <w:uiPriority w:val="0"/>
    <w:pPr>
      <w:ind w:left="420" w:leftChars="200"/>
    </w:pPr>
  </w:style>
  <w:style w:type="character" w:styleId="6">
    <w:name w:val="Hyperlink"/>
    <w:basedOn w:val="5"/>
    <w:autoRedefine/>
    <w:qFormat/>
    <w:uiPriority w:val="0"/>
    <w:rPr>
      <w:color w:val="0000FF"/>
      <w:u w:val="single"/>
    </w:rPr>
  </w:style>
  <w:style w:type="character" w:customStyle="1" w:styleId="7">
    <w:name w:val="font01"/>
    <w:basedOn w:val="5"/>
    <w:qFormat/>
    <w:uiPriority w:val="0"/>
    <w:rPr>
      <w:rFonts w:ascii="Arial" w:hAnsi="Arial" w:cs="Arial"/>
      <w:b/>
      <w:color w:val="808080"/>
      <w:sz w:val="21"/>
      <w:szCs w:val="21"/>
      <w:u w:val="none"/>
    </w:rPr>
  </w:style>
  <w:style w:type="paragraph" w:customStyle="1" w:styleId="8">
    <w:name w:val="WPSOffice手动目录 1"/>
    <w:qFormat/>
    <w:uiPriority w:val="0"/>
    <w:pPr>
      <w:ind w:leftChars="0"/>
    </w:pPr>
    <w:rPr>
      <w:rFonts w:ascii="Times New Roman" w:hAnsi="Times New Roman" w:eastAsia="宋体" w:cs="Times New Roman"/>
      <w:sz w:val="20"/>
      <w:szCs w:val="20"/>
    </w:rPr>
  </w:style>
  <w:style w:type="paragraph" w:customStyle="1" w:styleId="9">
    <w:name w:val="WPSOffice手动目录 2"/>
    <w:autoRedefine/>
    <w:qFormat/>
    <w:uiPriority w:val="0"/>
    <w:pPr>
      <w:ind w:leftChars="200"/>
    </w:pPr>
    <w:rPr>
      <w:rFonts w:ascii="Times New Roman" w:hAnsi="Times New Roman" w:eastAsia="宋体" w:cs="Times New Roman"/>
      <w:sz w:val="20"/>
      <w:szCs w:val="20"/>
    </w:rPr>
  </w:style>
  <w:style w:type="paragraph" w:styleId="10">
    <w:name w:val="No Spacing"/>
    <w:autoRedefine/>
    <w:unhideWhenUsed/>
    <w:qFormat/>
    <w:uiPriority w:val="1"/>
    <w:rPr>
      <w:rFonts w:hint="eastAsia" w:ascii="等线" w:hAnsi="等线" w:eastAsia="等线" w:cs="Times New Roman"/>
      <w:sz w:val="22"/>
      <w:szCs w:val="24"/>
      <w:lang w:val="en-US" w:eastAsia="zh-CN"/>
    </w:rPr>
  </w:style>
  <w:style w:type="character" w:customStyle="1" w:styleId="11">
    <w:name w:val="font11"/>
    <w:basedOn w:val="5"/>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3&#24180;&#21457;&#25991;&#20998;&#26512;&#25253;&#21578;\WOS-2023&#24180;&#21457;&#25991;&#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1.&#26085;&#24120;&#24037;&#20316;--&#21457;&#25991;&#20998;&#26512;&#25253;&#21578;\2023&#24180;&#21457;&#25991;&#20998;&#26512;&#25253;&#21578;\WOS-2023&#24180;&#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sz="1200" b="0"/>
              <a:t>2023年河北科技师范学院中文期刊发文统计</a:t>
            </a:r>
            <a:endParaRPr sz="1200" b="0"/>
          </a:p>
        </c:rich>
      </c:tx>
      <c:layout/>
      <c:overlay val="0"/>
      <c:spPr>
        <a:noFill/>
        <a:ln>
          <a:noFill/>
        </a:ln>
        <a:effectLst/>
      </c:spPr>
    </c:title>
    <c:autoTitleDeleted val="0"/>
    <c:plotArea>
      <c:layout/>
      <c:lineChart>
        <c:grouping val="standard"/>
        <c:varyColors val="0"/>
        <c:ser>
          <c:idx val="0"/>
          <c:order val="0"/>
          <c:tx>
            <c:strRef>
              <c:f>'[CNKI-2023年发文数据.xlsx]发文量'!$B$1:$B$2</c:f>
              <c:strCache>
                <c:ptCount val="1"/>
                <c:pt idx="0">
                  <c:v>发文总量</c:v>
                </c:pt>
              </c:strCache>
            </c:strRef>
          </c:tx>
          <c:spPr>
            <a:ln w="28575" cap="rnd">
              <a:solidFill>
                <a:schemeClr val="accent1"/>
              </a:solidFill>
              <a:round/>
            </a:ln>
            <a:effectLst/>
          </c:spPr>
          <c:marker>
            <c:symbol val="none"/>
          </c:marker>
          <c:dLbls>
            <c:delete val="1"/>
          </c:dLbls>
          <c:cat>
            <c:numRef>
              <c:f>'[CNKI-2023年发文数据.xlsx]发文量'!$A$3:$A$14</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'[CNKI-2023年发文数据.xlsx]发文量'!$B$3:$B$14</c:f>
              <c:numCache>
                <c:formatCode>General</c:formatCode>
                <c:ptCount val="12"/>
                <c:pt idx="0">
                  <c:v>29</c:v>
                </c:pt>
                <c:pt idx="1">
                  <c:v>34</c:v>
                </c:pt>
                <c:pt idx="2">
                  <c:v>59</c:v>
                </c:pt>
                <c:pt idx="3">
                  <c:v>37</c:v>
                </c:pt>
                <c:pt idx="4">
                  <c:v>40</c:v>
                </c:pt>
                <c:pt idx="5">
                  <c:v>57</c:v>
                </c:pt>
                <c:pt idx="6">
                  <c:v>35</c:v>
                </c:pt>
                <c:pt idx="7">
                  <c:v>29</c:v>
                </c:pt>
                <c:pt idx="8">
                  <c:v>52</c:v>
                </c:pt>
                <c:pt idx="9">
                  <c:v>30</c:v>
                </c:pt>
                <c:pt idx="10">
                  <c:v>35</c:v>
                </c:pt>
                <c:pt idx="11">
                  <c:v>37</c:v>
                </c:pt>
              </c:numCache>
            </c:numRef>
          </c:val>
          <c:smooth val="0"/>
        </c:ser>
        <c:ser>
          <c:idx val="1"/>
          <c:order val="1"/>
          <c:tx>
            <c:strRef>
              <c:f>'[CNKI-2023年发文数据.xlsx]发文量'!$C$1:$C$2</c:f>
              <c:strCache>
                <c:ptCount val="1"/>
                <c:pt idx="0">
                  <c:v>第一机构 发文总量</c:v>
                </c:pt>
              </c:strCache>
            </c:strRef>
          </c:tx>
          <c:spPr>
            <a:ln w="28575" cap="rnd">
              <a:solidFill>
                <a:schemeClr val="accent2"/>
              </a:solidFill>
              <a:round/>
            </a:ln>
            <a:effectLst/>
          </c:spPr>
          <c:marker>
            <c:symbol val="none"/>
          </c:marker>
          <c:dLbls>
            <c:delete val="1"/>
          </c:dLbls>
          <c:cat>
            <c:numRef>
              <c:f>'[CNKI-2023年发文数据.xlsx]发文量'!$A$3:$A$14</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'[CNKI-2023年发文数据.xlsx]发文量'!$C$3:$C$14</c:f>
              <c:numCache>
                <c:formatCode>General</c:formatCode>
                <c:ptCount val="12"/>
                <c:pt idx="0">
                  <c:v>23</c:v>
                </c:pt>
                <c:pt idx="1">
                  <c:v>26</c:v>
                </c:pt>
                <c:pt idx="2">
                  <c:v>47</c:v>
                </c:pt>
                <c:pt idx="3">
                  <c:v>28</c:v>
                </c:pt>
                <c:pt idx="4">
                  <c:v>35</c:v>
                </c:pt>
                <c:pt idx="5">
                  <c:v>40</c:v>
                </c:pt>
                <c:pt idx="6">
                  <c:v>23</c:v>
                </c:pt>
                <c:pt idx="7">
                  <c:v>20</c:v>
                </c:pt>
                <c:pt idx="8">
                  <c:v>38</c:v>
                </c:pt>
                <c:pt idx="9">
                  <c:v>22</c:v>
                </c:pt>
                <c:pt idx="10">
                  <c:v>25</c:v>
                </c:pt>
                <c:pt idx="11">
                  <c:v>32</c:v>
                </c:pt>
              </c:numCache>
            </c:numRef>
          </c:val>
          <c:smooth val="0"/>
        </c:ser>
        <c:dLbls>
          <c:showLegendKey val="0"/>
          <c:showVal val="0"/>
          <c:showCatName val="0"/>
          <c:showSerName val="0"/>
          <c:showPercent val="0"/>
          <c:showBubbleSize val="0"/>
        </c:dLbls>
        <c:marker val="0"/>
        <c:smooth val="0"/>
        <c:axId val="931812659"/>
        <c:axId val="583036202"/>
      </c:lineChart>
      <c:dateAx>
        <c:axId val="93181265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3036202"/>
        <c:crosses val="autoZero"/>
        <c:auto val="1"/>
        <c:lblOffset val="100"/>
        <c:baseTimeUnit val="months"/>
      </c:dateAx>
      <c:valAx>
        <c:axId val="58303620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1812659"/>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'[CNKI-2023年发文数据.xlsx]主题'!$E$2:$E$21</c:f>
              <c:strCache>
                <c:ptCount val="20"/>
                <c:pt idx="0">
                  <c:v>河北省</c:v>
                </c:pt>
                <c:pt idx="1">
                  <c:v>乡村振兴</c:v>
                </c:pt>
                <c:pt idx="2">
                  <c:v>分离鉴定</c:v>
                </c:pt>
                <c:pt idx="3">
                  <c:v>桃</c:v>
                </c:pt>
                <c:pt idx="4">
                  <c:v>冀东地区</c:v>
                </c:pt>
                <c:pt idx="5">
                  <c:v>秦皇岛市</c:v>
                </c:pt>
                <c:pt idx="6">
                  <c:v>种质资源</c:v>
                </c:pt>
                <c:pt idx="7">
                  <c:v>生物学特性</c:v>
                </c:pt>
                <c:pt idx="8">
                  <c:v>课程思政</c:v>
                </c:pt>
                <c:pt idx="9">
                  <c:v>生长性能</c:v>
                </c:pt>
                <c:pt idx="10">
                  <c:v>果实品质</c:v>
                </c:pt>
                <c:pt idx="11">
                  <c:v>农艺性状</c:v>
                </c:pt>
                <c:pt idx="12">
                  <c:v>种植密度</c:v>
                </c:pt>
                <c:pt idx="13">
                  <c:v>实现路径</c:v>
                </c:pt>
                <c:pt idx="14">
                  <c:v>光催化性能</c:v>
                </c:pt>
                <c:pt idx="15">
                  <c:v>产量和品质</c:v>
                </c:pt>
                <c:pt idx="16">
                  <c:v>秦皇岛</c:v>
                </c:pt>
                <c:pt idx="17">
                  <c:v>糯玉米</c:v>
                </c:pt>
                <c:pt idx="18">
                  <c:v>基因家族</c:v>
                </c:pt>
                <c:pt idx="19">
                  <c:v>高职院校</c:v>
                </c:pt>
              </c:strCache>
            </c:strRef>
          </c:cat>
          <c:val>
            <c:numRef>
              <c:f>'[CNKI-2023年发文数据.xlsx]主题'!$F$2:$F$21</c:f>
              <c:numCache>
                <c:formatCode>General</c:formatCode>
                <c:ptCount val="20"/>
                <c:pt idx="0">
                  <c:v>18</c:v>
                </c:pt>
                <c:pt idx="1">
                  <c:v>12</c:v>
                </c:pt>
                <c:pt idx="2">
                  <c:v>12</c:v>
                </c:pt>
                <c:pt idx="3">
                  <c:v>10</c:v>
                </c:pt>
                <c:pt idx="4">
                  <c:v>10</c:v>
                </c:pt>
                <c:pt idx="5">
                  <c:v>8</c:v>
                </c:pt>
                <c:pt idx="6">
                  <c:v>8</c:v>
                </c:pt>
                <c:pt idx="7">
                  <c:v>7</c:v>
                </c:pt>
                <c:pt idx="8">
                  <c:v>7</c:v>
                </c:pt>
                <c:pt idx="9">
                  <c:v>7</c:v>
                </c:pt>
                <c:pt idx="10">
                  <c:v>5</c:v>
                </c:pt>
                <c:pt idx="11">
                  <c:v>5</c:v>
                </c:pt>
                <c:pt idx="12">
                  <c:v>4</c:v>
                </c:pt>
                <c:pt idx="13">
                  <c:v>4</c:v>
                </c:pt>
                <c:pt idx="14">
                  <c:v>4</c:v>
                </c:pt>
                <c:pt idx="15">
                  <c:v>4</c:v>
                </c:pt>
                <c:pt idx="16">
                  <c:v>4</c:v>
                </c:pt>
                <c:pt idx="17">
                  <c:v>4</c:v>
                </c:pt>
                <c:pt idx="18">
                  <c:v>4</c:v>
                </c:pt>
                <c:pt idx="19">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'[CNKI-2023年发文数据.xlsx]主题'!$L$2:$L$21</c:f>
              <c:strCache>
                <c:ptCount val="20"/>
                <c:pt idx="0">
                  <c:v>毒力基因</c:v>
                </c:pt>
                <c:pt idx="1">
                  <c:v>乡村振兴</c:v>
                </c:pt>
                <c:pt idx="2">
                  <c:v>耐药基因</c:v>
                </c:pt>
                <c:pt idx="3">
                  <c:v>生化特性</c:v>
                </c:pt>
                <c:pt idx="4">
                  <c:v>致病性</c:v>
                </c:pt>
                <c:pt idx="5">
                  <c:v>冀东地区</c:v>
                </c:pt>
                <c:pt idx="6">
                  <c:v>分离菌</c:v>
                </c:pt>
                <c:pt idx="7">
                  <c:v>聚类分析</c:v>
                </c:pt>
                <c:pt idx="8">
                  <c:v>果实品质</c:v>
                </c:pt>
                <c:pt idx="9">
                  <c:v>盐胁迫</c:v>
                </c:pt>
                <c:pt idx="10">
                  <c:v>生根率</c:v>
                </c:pt>
                <c:pt idx="11">
                  <c:v>致病性试验</c:v>
                </c:pt>
                <c:pt idx="12">
                  <c:v>干物质积累</c:v>
                </c:pt>
                <c:pt idx="13">
                  <c:v>发病率</c:v>
                </c:pt>
                <c:pt idx="14">
                  <c:v>血清型</c:v>
                </c:pt>
                <c:pt idx="15">
                  <c:v>抗氧化活性</c:v>
                </c:pt>
                <c:pt idx="16">
                  <c:v>生化鉴定</c:v>
                </c:pt>
                <c:pt idx="17">
                  <c:v>主成分分析</c:v>
                </c:pt>
                <c:pt idx="18">
                  <c:v>病情指数</c:v>
                </c:pt>
                <c:pt idx="19">
                  <c:v>技能等级</c:v>
                </c:pt>
              </c:strCache>
            </c:strRef>
          </c:cat>
          <c:val>
            <c:numRef>
              <c:f>'[CNKI-2023年发文数据.xlsx]主题'!$M$2:$M$21</c:f>
              <c:numCache>
                <c:formatCode>General</c:formatCode>
                <c:ptCount val="20"/>
                <c:pt idx="0">
                  <c:v>8</c:v>
                </c:pt>
                <c:pt idx="1">
                  <c:v>6</c:v>
                </c:pt>
                <c:pt idx="2">
                  <c:v>6</c:v>
                </c:pt>
                <c:pt idx="3">
                  <c:v>5</c:v>
                </c:pt>
                <c:pt idx="4">
                  <c:v>5</c:v>
                </c:pt>
                <c:pt idx="5">
                  <c:v>4</c:v>
                </c:pt>
                <c:pt idx="6">
                  <c:v>4</c:v>
                </c:pt>
                <c:pt idx="7">
                  <c:v>4</c:v>
                </c:pt>
                <c:pt idx="8">
                  <c:v>4</c:v>
                </c:pt>
                <c:pt idx="9">
                  <c:v>4</c:v>
                </c:pt>
                <c:pt idx="10">
                  <c:v>3</c:v>
                </c:pt>
                <c:pt idx="11">
                  <c:v>3</c:v>
                </c:pt>
                <c:pt idx="12">
                  <c:v>3</c:v>
                </c:pt>
                <c:pt idx="13">
                  <c:v>3</c:v>
                </c:pt>
                <c:pt idx="14">
                  <c:v>3</c:v>
                </c:pt>
                <c:pt idx="15">
                  <c:v>3</c:v>
                </c:pt>
                <c:pt idx="16">
                  <c:v>3</c:v>
                </c:pt>
                <c:pt idx="17">
                  <c:v>3</c:v>
                </c:pt>
                <c:pt idx="18">
                  <c:v>3</c:v>
                </c:pt>
                <c:pt idx="19">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'[CNKI-2023年发文数据.xlsx]关键词'!$D$3:$D$25</c:f>
              <c:strCache>
                <c:ptCount val="23"/>
                <c:pt idx="0">
                  <c:v>乡村振兴</c:v>
                </c:pt>
                <c:pt idx="1">
                  <c:v>板栗</c:v>
                </c:pt>
                <c:pt idx="2">
                  <c:v>产量</c:v>
                </c:pt>
                <c:pt idx="3">
                  <c:v>黄瓜</c:v>
                </c:pt>
                <c:pt idx="4">
                  <c:v>桃</c:v>
                </c:pt>
                <c:pt idx="5">
                  <c:v>毒力基因</c:v>
                </c:pt>
                <c:pt idx="6">
                  <c:v>冀东地区</c:v>
                </c:pt>
                <c:pt idx="7">
                  <c:v>种质资源</c:v>
                </c:pt>
                <c:pt idx="8">
                  <c:v>课程思政</c:v>
                </c:pt>
                <c:pt idx="9">
                  <c:v>生长性能</c:v>
                </c:pt>
                <c:pt idx="10">
                  <c:v>河北省</c:v>
                </c:pt>
                <c:pt idx="11">
                  <c:v>果实品质</c:v>
                </c:pt>
                <c:pt idx="12">
                  <c:v>耐药基因</c:v>
                </c:pt>
                <c:pt idx="13">
                  <c:v>致病性</c:v>
                </c:pt>
                <c:pt idx="14">
                  <c:v>主成分分析</c:v>
                </c:pt>
                <c:pt idx="15">
                  <c:v>聚类分析</c:v>
                </c:pt>
                <c:pt idx="16">
                  <c:v>抗氧化活性</c:v>
                </c:pt>
                <c:pt idx="17">
                  <c:v>耐药性</c:v>
                </c:pt>
                <c:pt idx="18">
                  <c:v>品质</c:v>
                </c:pt>
                <c:pt idx="19">
                  <c:v>生物学特性</c:v>
                </c:pt>
                <c:pt idx="20">
                  <c:v>药敏试验</c:v>
                </c:pt>
                <c:pt idx="21">
                  <c:v>转录组</c:v>
                </c:pt>
                <c:pt idx="22">
                  <c:v>综合评价</c:v>
                </c:pt>
              </c:strCache>
            </c:strRef>
          </c:cat>
          <c:val>
            <c:numRef>
              <c:f>'[CNKI-2023年发文数据.xlsx]关键词'!$E$3:$E$25</c:f>
              <c:numCache>
                <c:formatCode>General</c:formatCode>
                <c:ptCount val="23"/>
                <c:pt idx="0">
                  <c:v>17</c:v>
                </c:pt>
                <c:pt idx="1">
                  <c:v>15</c:v>
                </c:pt>
                <c:pt idx="2">
                  <c:v>14</c:v>
                </c:pt>
                <c:pt idx="3" c:formatCode="@">
                  <c:v>11</c:v>
                </c:pt>
                <c:pt idx="4" c:formatCode="@">
                  <c:v>10</c:v>
                </c:pt>
                <c:pt idx="5">
                  <c:v>9</c:v>
                </c:pt>
                <c:pt idx="6">
                  <c:v>9</c:v>
                </c:pt>
                <c:pt idx="7">
                  <c:v>9</c:v>
                </c:pt>
                <c:pt idx="8">
                  <c:v>8</c:v>
                </c:pt>
                <c:pt idx="9">
                  <c:v>8</c:v>
                </c:pt>
                <c:pt idx="10">
                  <c:v>7</c:v>
                </c:pt>
                <c:pt idx="11">
                  <c:v>6</c:v>
                </c:pt>
                <c:pt idx="12">
                  <c:v>6</c:v>
                </c:pt>
                <c:pt idx="13">
                  <c:v>6</c:v>
                </c:pt>
                <c:pt idx="14">
                  <c:v>6</c:v>
                </c:pt>
                <c:pt idx="15">
                  <c:v>5</c:v>
                </c:pt>
                <c:pt idx="16">
                  <c:v>5</c:v>
                </c:pt>
                <c:pt idx="17">
                  <c:v>5</c:v>
                </c:pt>
                <c:pt idx="18">
                  <c:v>5</c:v>
                </c:pt>
                <c:pt idx="19">
                  <c:v>5</c:v>
                </c:pt>
                <c:pt idx="20">
                  <c:v>5</c:v>
                </c:pt>
                <c:pt idx="21">
                  <c:v>5</c:v>
                </c:pt>
                <c:pt idx="22">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'[CNKI-2023年发文数据.xlsx]合作单位'!$G$3:$G$11</c:f>
              <c:strCache>
                <c:ptCount val="9"/>
                <c:pt idx="0">
                  <c:v>燕山大学</c:v>
                </c:pt>
                <c:pt idx="1">
                  <c:v>河北农业大学</c:v>
                </c:pt>
                <c:pt idx="2">
                  <c:v>石家庄学院</c:v>
                </c:pt>
                <c:pt idx="3">
                  <c:v>河北旅游职业学院</c:v>
                </c:pt>
                <c:pt idx="4">
                  <c:v>中国农业大学</c:v>
                </c:pt>
                <c:pt idx="5">
                  <c:v>唐山市食品药品综合检验检测中心</c:v>
                </c:pt>
                <c:pt idx="6">
                  <c:v>中国农业科学院特产研究所</c:v>
                </c:pt>
                <c:pt idx="7">
                  <c:v>河北师范大学</c:v>
                </c:pt>
                <c:pt idx="8">
                  <c:v>中国农业科学院北京畜牧兽医研究所</c:v>
                </c:pt>
              </c:strCache>
            </c:strRef>
          </c:cat>
          <c:val>
            <c:numRef>
              <c:f>'[CNKI-2023年发文数据.xlsx]合作单位'!$H$3:$H$11</c:f>
              <c:numCache>
                <c:formatCode>General</c:formatCode>
                <c:ptCount val="9"/>
                <c:pt idx="0">
                  <c:v>27</c:v>
                </c:pt>
                <c:pt idx="1">
                  <c:v>21</c:v>
                </c:pt>
                <c:pt idx="2">
                  <c:v>8</c:v>
                </c:pt>
                <c:pt idx="3">
                  <c:v>7</c:v>
                </c:pt>
                <c:pt idx="4">
                  <c:v>7</c:v>
                </c:pt>
                <c:pt idx="5">
                  <c:v>6</c:v>
                </c:pt>
                <c:pt idx="6">
                  <c:v>6</c:v>
                </c:pt>
                <c:pt idx="7">
                  <c:v>5</c:v>
                </c:pt>
                <c:pt idx="8">
                  <c:v>5</c:v>
                </c:pt>
              </c:numCache>
            </c:numRef>
          </c:val>
        </c:ser>
        <c:dLbls>
          <c:showLegendKey val="0"/>
          <c:showVal val="1"/>
          <c:showCatName val="0"/>
          <c:showSerName val="0"/>
          <c:showPercent val="0"/>
          <c:showBubbleSize val="0"/>
        </c:dLbls>
        <c:axId val="517982857"/>
        <c:axId val="935439447"/>
      </c:radarChart>
      <c:catAx>
        <c:axId val="5179828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5439447"/>
        <c:crosses val="autoZero"/>
        <c:auto val="1"/>
        <c:lblAlgn val="ctr"/>
        <c:lblOffset val="100"/>
        <c:noMultiLvlLbl val="0"/>
      </c:catAx>
      <c:valAx>
        <c:axId val="93543944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798285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sz="1200"/>
              <a:t>2023</a:t>
            </a:r>
            <a:r>
              <a:rPr altLang="en-US" sz="1200"/>
              <a:t>年河北科技师范学院外文期刊发文统计</a:t>
            </a:r>
            <a:endParaRPr lang="en-US" altLang="zh-CN" sz="1200"/>
          </a:p>
        </c:rich>
      </c:tx>
      <c:layout/>
      <c:overlay val="0"/>
      <c:spPr>
        <a:noFill/>
        <a:ln>
          <a:noFill/>
        </a:ln>
        <a:effectLst/>
      </c:spPr>
    </c:title>
    <c:autoTitleDeleted val="0"/>
    <c:plotArea>
      <c:layout/>
      <c:lineChart>
        <c:grouping val="standard"/>
        <c:varyColors val="0"/>
        <c:ser>
          <c:idx val="0"/>
          <c:order val="0"/>
          <c:tx>
            <c:strRef>
              <c:f>'[WOS-2023年发文数据.xlsx]发文量'!$B$1:$B$2</c:f>
              <c:strCache>
                <c:ptCount val="1"/>
                <c:pt idx="0">
                  <c:v>发文总量</c:v>
                </c:pt>
              </c:strCache>
            </c:strRef>
          </c:tx>
          <c:spPr>
            <a:ln w="28575" cap="rnd">
              <a:solidFill>
                <a:schemeClr val="accent1"/>
              </a:solidFill>
              <a:round/>
            </a:ln>
            <a:effectLst/>
          </c:spPr>
          <c:marker>
            <c:symbol val="none"/>
          </c:marker>
          <c:dLbls>
            <c:delete val="1"/>
          </c:dLbls>
          <c:cat>
            <c:numRef>
              <c:f>'[WOS-2023年发文数据.xlsx]发文量'!$A$3:$A$14</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'[WOS-2023年发文数据.xlsx]发文量'!$B$3:$B$14</c:f>
              <c:numCache>
                <c:formatCode>General</c:formatCode>
                <c:ptCount val="12"/>
                <c:pt idx="0">
                  <c:v>30</c:v>
                </c:pt>
                <c:pt idx="1">
                  <c:v>24</c:v>
                </c:pt>
                <c:pt idx="2">
                  <c:v>18</c:v>
                </c:pt>
                <c:pt idx="3">
                  <c:v>16</c:v>
                </c:pt>
                <c:pt idx="4">
                  <c:v>19</c:v>
                </c:pt>
                <c:pt idx="5">
                  <c:v>17</c:v>
                </c:pt>
                <c:pt idx="6">
                  <c:v>15</c:v>
                </c:pt>
                <c:pt idx="7">
                  <c:v>14</c:v>
                </c:pt>
                <c:pt idx="8">
                  <c:v>13</c:v>
                </c:pt>
                <c:pt idx="9">
                  <c:v>15</c:v>
                </c:pt>
                <c:pt idx="10">
                  <c:v>12</c:v>
                </c:pt>
                <c:pt idx="11">
                  <c:v>16</c:v>
                </c:pt>
              </c:numCache>
            </c:numRef>
          </c:val>
          <c:smooth val="0"/>
        </c:ser>
        <c:ser>
          <c:idx val="1"/>
          <c:order val="1"/>
          <c:tx>
            <c:strRef>
              <c:f>'[WOS-2023年发文数据.xlsx]发文量'!$C$1:$C$2</c:f>
              <c:strCache>
                <c:ptCount val="1"/>
                <c:pt idx="0">
                  <c:v>第一机构 发文总量</c:v>
                </c:pt>
              </c:strCache>
            </c:strRef>
          </c:tx>
          <c:spPr>
            <a:ln w="28575" cap="rnd">
              <a:solidFill>
                <a:schemeClr val="accent2"/>
              </a:solidFill>
              <a:round/>
            </a:ln>
            <a:effectLst/>
          </c:spPr>
          <c:marker>
            <c:symbol val="none"/>
          </c:marker>
          <c:dLbls>
            <c:delete val="1"/>
          </c:dLbls>
          <c:cat>
            <c:numRef>
              <c:f>'[WOS-2023年发文数据.xlsx]发文量'!$A$3:$A$14</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'[WOS-2023年发文数据.xlsx]发文量'!$C$3:$C$14</c:f>
              <c:numCache>
                <c:formatCode>General</c:formatCode>
                <c:ptCount val="12"/>
                <c:pt idx="0">
                  <c:v>12</c:v>
                </c:pt>
                <c:pt idx="1">
                  <c:v>8</c:v>
                </c:pt>
                <c:pt idx="2">
                  <c:v>7</c:v>
                </c:pt>
                <c:pt idx="3">
                  <c:v>6</c:v>
                </c:pt>
                <c:pt idx="4">
                  <c:v>4</c:v>
                </c:pt>
                <c:pt idx="5">
                  <c:v>10</c:v>
                </c:pt>
                <c:pt idx="6">
                  <c:v>7</c:v>
                </c:pt>
                <c:pt idx="7">
                  <c:v>5</c:v>
                </c:pt>
                <c:pt idx="8">
                  <c:v>5</c:v>
                </c:pt>
                <c:pt idx="9">
                  <c:v>5</c:v>
                </c:pt>
                <c:pt idx="10">
                  <c:v>6</c:v>
                </c:pt>
                <c:pt idx="11">
                  <c:v>4</c:v>
                </c:pt>
              </c:numCache>
            </c:numRef>
          </c:val>
          <c:smooth val="0"/>
        </c:ser>
        <c:dLbls>
          <c:showLegendKey val="0"/>
          <c:showVal val="0"/>
          <c:showCatName val="0"/>
          <c:showSerName val="0"/>
          <c:showPercent val="0"/>
          <c:showBubbleSize val="0"/>
        </c:dLbls>
        <c:marker val="0"/>
        <c:smooth val="0"/>
        <c:axId val="802938483"/>
        <c:axId val="99070606"/>
      </c:lineChart>
      <c:dateAx>
        <c:axId val="802938483"/>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070606"/>
        <c:crosses val="autoZero"/>
        <c:auto val="1"/>
        <c:lblOffset val="100"/>
        <c:baseTimeUnit val="months"/>
      </c:dateAx>
      <c:valAx>
        <c:axId val="9907060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2938483"/>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合作机构</a:t>
            </a:r>
            <a:endParaRPr b="0"/>
          </a:p>
        </c:rich>
      </c:tx>
      <c:layout>
        <c:manualLayout>
          <c:xMode val="edge"/>
          <c:yMode val="edge"/>
          <c:x val="0.420394736842105"/>
          <c:y val="0.0277777777777778"/>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'[WOS-2023年发文数据.xlsx]合作机构'!$E$4:$E$10</c:f>
              <c:strCache>
                <c:ptCount val="7"/>
                <c:pt idx="0">
                  <c:v>Yanshan University</c:v>
                </c:pt>
                <c:pt idx="1">
                  <c:v>Tianjin University Science &amp; Technology</c:v>
                </c:pt>
                <c:pt idx="2">
                  <c:v>Chinese Academy of Agricultural Sciences</c:v>
                </c:pt>
                <c:pt idx="3">
                  <c:v>Chinese Academy of Sciences</c:v>
                </c:pt>
                <c:pt idx="4">
                  <c:v>Hebei Agricultural University</c:v>
                </c:pt>
                <c:pt idx="5">
                  <c:v>Ministry of Agriculture &amp; Rural Affairs</c:v>
                </c:pt>
                <c:pt idx="6">
                  <c:v>Northeastern University - China</c:v>
                </c:pt>
              </c:strCache>
            </c:strRef>
          </c:cat>
          <c:val>
            <c:numRef>
              <c:f>'[WOS-2023年发文数据.xlsx]合作机构'!$F$4:$F$10</c:f>
              <c:numCache>
                <c:formatCode>General</c:formatCode>
                <c:ptCount val="7"/>
                <c:pt idx="0">
                  <c:v>30</c:v>
                </c:pt>
                <c:pt idx="1">
                  <c:v>21</c:v>
                </c:pt>
                <c:pt idx="2">
                  <c:v>19</c:v>
                </c:pt>
                <c:pt idx="3">
                  <c:v>19</c:v>
                </c:pt>
                <c:pt idx="4">
                  <c:v>15</c:v>
                </c:pt>
                <c:pt idx="5">
                  <c:v>11</c:v>
                </c:pt>
                <c:pt idx="6">
                  <c:v>10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7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4005</Words>
  <Characters>7589</Characters>
  <Lines>0</Lines>
  <Paragraphs>0</Paragraphs>
  <TotalTime>4</TotalTime>
  <ScaleCrop>false</ScaleCrop>
  <LinksUpToDate>false</LinksUpToDate>
  <CharactersWithSpaces>8085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Administrator</cp:lastModifiedBy>
  <dcterms:modified xsi:type="dcterms:W3CDTF">2024-04-18T06:49:42Z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67EB0E9F885749A28F66DD34A42035C8</vt:lpwstr>
  </property>
</Properties>
</file>