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ascii="微软雅黑" w:hAnsi="微软雅黑" w:eastAsia="微软雅黑"/>
                                <w:b/>
                                <w:color w:val="5B9BD5"/>
                                <w:sz w:val="52"/>
                                <w:szCs w:val="52"/>
                                <w:u w:val="dashLongHeavy"/>
                              </w:rPr>
                            </w:pPr>
                          </w:p>
                          <w:p>
                            <w:pPr>
                              <w:spacing w:line="300" w:lineRule="atLeast"/>
                              <w:rPr>
                                <w:rFonts w:hint="default" w:ascii="黑体" w:hAnsi="黑体" w:eastAsia="黑体" w:cs="黑体"/>
                                <w:sz w:val="28"/>
                                <w:szCs w:val="28"/>
                              </w:rPr>
                            </w:pPr>
                            <w:r>
                              <w:rPr>
                                <w:rFonts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eastAsia="zh-CN"/>
                              </w:rPr>
                              <w:t>2023年</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ascii="微软雅黑" w:hAnsi="微软雅黑" w:eastAsia="微软雅黑"/>
                          <w:b/>
                          <w:color w:val="5B9BD5"/>
                          <w:sz w:val="52"/>
                          <w:szCs w:val="52"/>
                          <w:u w:val="dashLongHeavy"/>
                        </w:rPr>
                      </w:pPr>
                    </w:p>
                    <w:p>
                      <w:pPr>
                        <w:spacing w:line="300" w:lineRule="atLeast"/>
                        <w:rPr>
                          <w:rFonts w:hint="default" w:ascii="黑体" w:hAnsi="黑体" w:eastAsia="黑体" w:cs="黑体"/>
                          <w:sz w:val="28"/>
                          <w:szCs w:val="28"/>
                        </w:rPr>
                      </w:pPr>
                      <w:r>
                        <w:rPr>
                          <w:rFonts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eastAsia="zh-CN"/>
                        </w:rPr>
                        <w:t>2023年</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default" w:ascii="微软雅黑" w:hAnsi="微软雅黑" w:eastAsia="微软雅黑"/>
                          <w:color w:val="000000"/>
                          <w:sz w:val="48"/>
                        </w:rPr>
                      </w:pPr>
                    </w:p>
                  </w:txbxContent>
                </v:textbox>
              </v:shape>
            </w:pict>
          </mc:Fallback>
        </mc:AlternateContent>
      </w:r>
    </w:p>
    <w:p>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17</w:t>
      </w:r>
      <w:r>
        <w:rPr>
          <w:rFonts w:ascii="仿宋" w:hAnsi="仿宋" w:eastAsia="仿宋" w:cs="仿宋"/>
          <w:sz w:val="28"/>
          <w:szCs w:val="28"/>
        </w:rPr>
        <w:t>日。</w:t>
      </w:r>
    </w:p>
    <w:p>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18</w:t>
      </w:r>
      <w:r>
        <w:rPr>
          <w:rFonts w:ascii="仿宋" w:hAnsi="仿宋" w:eastAsia="仿宋" w:cs="仿宋"/>
          <w:sz w:val="28"/>
          <w:szCs w:val="28"/>
        </w:rPr>
        <w:t>日。</w:t>
      </w:r>
    </w:p>
    <w:p>
      <w:pPr>
        <w:spacing w:line="480" w:lineRule="auto"/>
        <w:outlineLvl w:val="0"/>
        <w:rPr>
          <w:rFonts w:hint="default" w:ascii="仿宋" w:hAnsi="仿宋" w:eastAsia="仿宋" w:cs="仿宋"/>
          <w:sz w:val="28"/>
          <w:szCs w:val="28"/>
        </w:rPr>
      </w:pPr>
      <w:bookmarkStart w:id="0" w:name="_Toc31217"/>
      <w:bookmarkStart w:id="1" w:name="_Toc20858"/>
      <w:bookmarkStart w:id="2" w:name="_Toc9874"/>
      <w:bookmarkStart w:id="3" w:name="_Toc5625"/>
      <w:bookmarkStart w:id="4" w:name="_Toc9203"/>
      <w:r>
        <w:rPr>
          <w:rFonts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default" w:ascii="仿宋" w:hAnsi="仿宋" w:eastAsia="仿宋" w:cs="仿宋"/>
          <w:sz w:val="28"/>
          <w:szCs w:val="28"/>
        </w:rPr>
      </w:pPr>
      <w:bookmarkStart w:id="5" w:name="_Toc11709"/>
      <w:bookmarkStart w:id="6" w:name="_Toc29516"/>
      <w:bookmarkStart w:id="7" w:name="_Toc3908"/>
      <w:bookmarkStart w:id="8" w:name="_Toc25482"/>
      <w:bookmarkStart w:id="9" w:name="_Toc17869"/>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pPr>
        <w:spacing w:line="480" w:lineRule="auto"/>
        <w:jc w:val="left"/>
        <w:outlineLvl w:val="0"/>
        <w:rPr>
          <w:rFonts w:ascii="仿宋" w:hAnsi="仿宋" w:eastAsia="仿宋" w:cs="仿宋"/>
          <w:sz w:val="28"/>
          <w:szCs w:val="28"/>
        </w:rPr>
      </w:pPr>
      <w:bookmarkStart w:id="10" w:name="_Toc6044"/>
      <w:bookmarkStart w:id="11" w:name="_Toc10280"/>
      <w:bookmarkStart w:id="12" w:name="_Toc27907"/>
      <w:bookmarkStart w:id="13" w:name="_Toc5698"/>
      <w:bookmarkStart w:id="14" w:name="_Toc2529"/>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bookmarkStart w:id="38" w:name="_GoBack"/>
      <w:bookmarkEnd w:id="38"/>
    </w:p>
    <w:p>
      <w:pPr>
        <w:adjustRightInd/>
        <w:spacing w:line="240" w:lineRule="atLeast"/>
        <w:rPr>
          <w:rFonts w:hint="default" w:ascii="仿宋" w:hAnsi="仿宋" w:eastAsia="仿宋" w:cs="仿宋"/>
          <w:sz w:val="28"/>
          <w:szCs w:val="28"/>
        </w:rPr>
      </w:pPr>
    </w:p>
    <w:p>
      <w:pPr>
        <w:rPr>
          <w:rFonts w:hint="default"/>
        </w:rPr>
      </w:pPr>
    </w:p>
    <w:p>
      <w:pPr>
        <w:rPr>
          <w:rFonts w:hint="default"/>
        </w:rPr>
      </w:pP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rPr>
              <w:b/>
            </w:rPr>
          </w:pPr>
        </w:p>
        <w:p>
          <w:pPr>
            <w:rPr>
              <w:rFonts w:hint="default"/>
            </w:rPr>
          </w:pPr>
          <w:r>
            <w:rPr>
              <w:b/>
            </w:rPr>
            <w:fldChar w:fldCharType="end"/>
          </w:r>
        </w:p>
      </w:sdtContent>
    </w:sdt>
    <w:p>
      <w:pPr>
        <w:jc w:val="center"/>
        <w:outlineLvl w:val="0"/>
        <w:rPr>
          <w:rFonts w:hint="default" w:ascii="黑体" w:hAnsi="黑体" w:eastAsia="黑体" w:cs="黑体"/>
          <w:b/>
          <w:bCs/>
          <w:sz w:val="44"/>
          <w:szCs w:val="44"/>
        </w:rPr>
      </w:pPr>
      <w:bookmarkStart w:id="15" w:name="_Toc30326"/>
      <w:bookmarkStart w:id="16" w:name="_Toc32336"/>
      <w:bookmarkStart w:id="17" w:name="_Toc10867"/>
      <w:bookmarkStart w:id="18" w:name="_Toc23538"/>
      <w:bookmarkStart w:id="19" w:name="_Toc10728"/>
      <w:bookmarkStart w:id="20" w:name="_Toc10613"/>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pPr>
        <w:jc w:val="center"/>
        <w:outlineLvl w:val="0"/>
        <w:rPr>
          <w:rFonts w:hint="default" w:ascii="黑体" w:hAnsi="黑体" w:eastAsia="黑体" w:cs="黑体"/>
          <w:b/>
          <w:bCs/>
          <w:sz w:val="44"/>
          <w:szCs w:val="44"/>
        </w:rPr>
      </w:pPr>
      <w:bookmarkStart w:id="21" w:name="_Toc29920"/>
      <w:bookmarkStart w:id="22" w:name="_Toc8609"/>
      <w:bookmarkStart w:id="23" w:name="_Toc23894"/>
      <w:bookmarkStart w:id="24" w:name="_Toc9198"/>
      <w:bookmarkStart w:id="25" w:name="_Toc18557"/>
      <w:bookmarkStart w:id="26" w:name="_Toc23731"/>
      <w:r>
        <w:rPr>
          <w:rFonts w:hint="eastAsia" w:ascii="黑体" w:hAnsi="黑体" w:eastAsia="黑体" w:cs="黑体"/>
          <w:b/>
          <w:bCs/>
          <w:sz w:val="44"/>
          <w:szCs w:val="44"/>
          <w:lang w:eastAsia="zh-CN"/>
        </w:rPr>
        <w:t>2023年</w:t>
      </w:r>
      <w:r>
        <w:rPr>
          <w:rFonts w:ascii="黑体" w:hAnsi="黑体" w:eastAsia="黑体" w:cs="黑体"/>
          <w:b/>
          <w:bCs/>
          <w:sz w:val="44"/>
          <w:szCs w:val="44"/>
        </w:rPr>
        <w:t>专利情况统计分析报告</w:t>
      </w:r>
      <w:bookmarkEnd w:id="21"/>
      <w:bookmarkEnd w:id="22"/>
      <w:bookmarkEnd w:id="23"/>
      <w:bookmarkEnd w:id="24"/>
      <w:bookmarkEnd w:id="25"/>
      <w:bookmarkEnd w:id="26"/>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2023年</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118</w:t>
      </w:r>
      <w:r>
        <w:rPr>
          <w:rFonts w:ascii="仿宋" w:hAnsi="仿宋" w:eastAsia="仿宋" w:cs="仿宋"/>
          <w:sz w:val="28"/>
          <w:szCs w:val="28"/>
        </w:rPr>
        <w:t>件，具体分布情况见表1。</w:t>
      </w:r>
      <w:r>
        <w:rPr>
          <w:rFonts w:hint="eastAsia" w:ascii="仿宋" w:hAnsi="仿宋" w:eastAsia="仿宋" w:cs="仿宋"/>
          <w:sz w:val="28"/>
          <w:szCs w:val="28"/>
          <w:lang w:eastAsia="zh-CN"/>
        </w:rPr>
        <w:t>2023年</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，2023年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17</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2023年3月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2023年4月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2023年5月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2023年6月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2023年7月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2023年8月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2023年9月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2023年10月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2023年11月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2023年12月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w:t>
            </w:r>
          </w:p>
        </w:tc>
      </w:tr>
    </w:tbl>
    <w:p>
      <w:pPr>
        <w:tabs>
          <w:tab w:val="left" w:pos="312"/>
        </w:tabs>
        <w:jc w:val="both"/>
        <w:rPr>
          <w:rFonts w:hint="default" w:ascii="仿宋" w:hAnsi="仿宋" w:eastAsia="仿宋" w:cs="仿宋"/>
          <w:b/>
          <w:bCs/>
          <w:sz w:val="24"/>
        </w:rPr>
      </w:pPr>
    </w:p>
    <w:p>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专利总体趋势</w:t>
      </w:r>
    </w:p>
    <w:p>
      <w:pPr>
        <w:tabs>
          <w:tab w:val="left" w:pos="312"/>
        </w:tabs>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312"/>
        </w:tabs>
        <w:jc w:val="both"/>
        <w:rPr>
          <w:rFonts w:ascii="黑体" w:hAnsi="黑体" w:eastAsia="黑体" w:cs="黑体"/>
          <w:b/>
          <w:bCs/>
          <w:sz w:val="32"/>
          <w:szCs w:val="32"/>
        </w:rPr>
      </w:pPr>
      <w:bookmarkStart w:id="28" w:name="_Toc6255"/>
    </w:p>
    <w:p>
      <w:pPr>
        <w:tabs>
          <w:tab w:val="left" w:pos="312"/>
        </w:tabs>
        <w:jc w:val="both"/>
        <w:rPr>
          <w:rFonts w:hint="default" w:ascii="黑体" w:hAnsi="黑体" w:eastAsia="黑体" w:cs="黑体"/>
          <w:b/>
          <w:bCs/>
          <w:sz w:val="32"/>
          <w:szCs w:val="32"/>
        </w:rPr>
      </w:pPr>
      <w:r>
        <w:rPr>
          <w:rFonts w:ascii="黑体" w:hAnsi="黑体" w:eastAsia="黑体" w:cs="黑体"/>
          <w:b/>
          <w:bCs/>
          <w:sz w:val="32"/>
          <w:szCs w:val="32"/>
        </w:rPr>
        <w:t>2.专利类别分析</w:t>
      </w:r>
      <w:bookmarkEnd w:id="28"/>
    </w:p>
    <w:p>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55</w:t>
      </w:r>
      <w:r>
        <w:rPr>
          <w:rFonts w:ascii="仿宋" w:hAnsi="仿宋" w:eastAsia="仿宋" w:cs="仿宋"/>
          <w:sz w:val="28"/>
          <w:szCs w:val="28"/>
        </w:rPr>
        <w:t>件，发明授权专利</w:t>
      </w:r>
      <w:r>
        <w:rPr>
          <w:rFonts w:hint="eastAsia" w:ascii="仿宋" w:hAnsi="仿宋" w:eastAsia="仿宋" w:cs="仿宋"/>
          <w:sz w:val="28"/>
          <w:szCs w:val="28"/>
          <w:lang w:val="en-US" w:eastAsia="zh-CN"/>
        </w:rPr>
        <w:t>42</w:t>
      </w:r>
      <w:r>
        <w:rPr>
          <w:rFonts w:ascii="仿宋" w:hAnsi="仿宋" w:eastAsia="仿宋" w:cs="仿宋"/>
          <w:sz w:val="28"/>
          <w:szCs w:val="28"/>
        </w:rPr>
        <w:t>件，实用新型专利</w:t>
      </w:r>
      <w:r>
        <w:rPr>
          <w:rFonts w:hint="eastAsia" w:ascii="仿宋" w:hAnsi="仿宋" w:eastAsia="仿宋" w:cs="仿宋"/>
          <w:sz w:val="28"/>
          <w:szCs w:val="28"/>
          <w:lang w:val="en-US" w:eastAsia="zh-CN"/>
        </w:rPr>
        <w:t>18</w:t>
      </w:r>
      <w:r>
        <w:rPr>
          <w:rFonts w:ascii="仿宋" w:hAnsi="仿宋" w:eastAsia="仿宋" w:cs="仿宋"/>
          <w:sz w:val="28"/>
          <w:szCs w:val="28"/>
        </w:rPr>
        <w:t>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外观设计6件</w:t>
      </w:r>
      <w:r>
        <w:rPr>
          <w:rFonts w:ascii="仿宋" w:hAnsi="仿宋" w:eastAsia="仿宋" w:cs="仿宋"/>
          <w:sz w:val="28"/>
          <w:szCs w:val="28"/>
        </w:rPr>
        <w:t>。我校</w:t>
      </w:r>
      <w:r>
        <w:rPr>
          <w:rFonts w:hint="eastAsia" w:ascii="仿宋" w:hAnsi="仿宋" w:eastAsia="仿宋" w:cs="仿宋"/>
          <w:sz w:val="28"/>
          <w:szCs w:val="28"/>
          <w:lang w:eastAsia="zh-CN"/>
        </w:rPr>
        <w:t>2023年</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82.20</w:t>
      </w:r>
      <w:r>
        <w:rPr>
          <w:rFonts w:ascii="仿宋" w:hAnsi="仿宋" w:eastAsia="仿宋" w:cs="仿宋"/>
          <w:sz w:val="28"/>
          <w:szCs w:val="28"/>
        </w:rPr>
        <w:t>%，说明我校专利创新水平较高，研发能力也比较强，具体情况参见图2。</w:t>
      </w:r>
    </w:p>
    <w:p>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专利类别分布</w:t>
      </w:r>
    </w:p>
    <w:p>
      <w:pPr>
        <w:jc w:val="center"/>
        <w:outlineLvl w:val="0"/>
        <w:rPr>
          <w:rFonts w:ascii="黑体" w:hAnsi="黑体" w:eastAsia="黑体" w:cs="黑体"/>
          <w:b/>
          <w:bCs/>
          <w:sz w:val="32"/>
          <w:szCs w:val="32"/>
        </w:rPr>
      </w:pPr>
      <w:bookmarkStart w:id="29" w:name="_Toc12539"/>
      <w:r>
        <w:drawing>
          <wp:inline distT="0" distB="0" distL="114300" distR="114300">
            <wp:extent cx="4579620" cy="2432050"/>
            <wp:effectExtent l="4445" t="4445" r="6985" b="2095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pPr>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我校公布公告的专利学科关系，占比较多的学科有：轻工业手工业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化学、有机化工、材料科学、生物学等</w:t>
      </w:r>
      <w:r>
        <w:rPr>
          <w:rFonts w:ascii="仿宋" w:hAnsi="仿宋" w:eastAsia="仿宋" w:cs="仿宋"/>
          <w:sz w:val="28"/>
          <w:szCs w:val="28"/>
        </w:rPr>
        <w:t>，具体详情参见图3。</w:t>
      </w:r>
    </w:p>
    <w:p>
      <w:pPr>
        <w:spacing w:line="600" w:lineRule="auto"/>
        <w:jc w:val="center"/>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专利学科分布</w:t>
      </w:r>
    </w:p>
    <w:p>
      <w:pPr>
        <w:jc w:val="center"/>
        <w:rPr>
          <w:rFonts w:ascii="黑体" w:hAnsi="黑体" w:eastAsia="黑体" w:cs="黑体"/>
          <w:b/>
          <w:bCs/>
          <w:sz w:val="32"/>
          <w:szCs w:val="32"/>
        </w:rPr>
      </w:pPr>
      <w:bookmarkStart w:id="30" w:name="_Toc18240"/>
      <w:r>
        <w:drawing>
          <wp:inline distT="0" distB="0" distL="114300" distR="114300">
            <wp:extent cx="4826000" cy="2743200"/>
            <wp:effectExtent l="4445" t="4445" r="8255" b="14605"/>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制备方法、层压机、方法与应用、外观设计</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固定连接、立体图、电池组件等</w:t>
      </w:r>
      <w:r>
        <w:rPr>
          <w:rFonts w:ascii="仿宋" w:hAnsi="仿宋" w:eastAsia="仿宋" w:cs="仿宋"/>
          <w:sz w:val="28"/>
          <w:szCs w:val="28"/>
        </w:rPr>
        <w:t>主题词出现频率较高。下图列举频次较高的主要主题词和次要主题词，具体分布参见图4和图5。</w:t>
      </w:r>
    </w:p>
    <w:p>
      <w:pPr>
        <w:spacing w:line="720" w:lineRule="auto"/>
        <w:jc w:val="center"/>
        <w:rPr>
          <w:rFonts w:ascii="仿宋" w:hAnsi="仿宋" w:eastAsia="仿宋" w:cs="仿宋"/>
          <w:b/>
          <w:bCs/>
          <w:sz w:val="24"/>
        </w:rPr>
      </w:pPr>
    </w:p>
    <w:p>
      <w:pPr>
        <w:spacing w:line="720" w:lineRule="auto"/>
        <w:jc w:val="center"/>
        <w:rPr>
          <w:rFonts w:ascii="仿宋" w:hAnsi="仿宋" w:eastAsia="仿宋" w:cs="仿宋"/>
          <w:b/>
          <w:bCs/>
          <w:sz w:val="24"/>
        </w:rPr>
      </w:pPr>
    </w:p>
    <w:p>
      <w:pPr>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主要主题词分布</w:t>
      </w:r>
    </w:p>
    <w:p>
      <w:pPr>
        <w:spacing w:line="360" w:lineRule="auto"/>
        <w:jc w:val="center"/>
        <w:rPr>
          <w:rFonts w:hint="default" w:ascii="仿宋" w:hAnsi="仿宋" w:eastAsia="仿宋" w:cs="仿宋"/>
          <w:b/>
          <w:bCs/>
          <w:sz w:val="24"/>
        </w:rPr>
      </w:pPr>
      <w:r>
        <w:drawing>
          <wp:inline distT="0" distB="0" distL="114300" distR="114300">
            <wp:extent cx="4569460" cy="2498090"/>
            <wp:effectExtent l="4445" t="4445" r="17145" b="1206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次要主题词分布</w:t>
      </w:r>
    </w:p>
    <w:p>
      <w:pPr>
        <w:jc w:val="center"/>
        <w:rPr>
          <w:rFonts w:hint="default" w:ascii="黑体" w:hAnsi="黑体" w:eastAsia="黑体" w:cs="黑体"/>
          <w:b/>
          <w:bCs/>
          <w:sz w:val="32"/>
          <w:szCs w:val="32"/>
        </w:rPr>
      </w:pPr>
      <w:r>
        <w:drawing>
          <wp:inline distT="0" distB="0" distL="114300" distR="114300">
            <wp:extent cx="4580255" cy="2400300"/>
            <wp:effectExtent l="4445" t="5080" r="6350" b="1397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outlineLvl w:val="0"/>
        <w:rPr>
          <w:rFonts w:ascii="黑体" w:hAnsi="黑体" w:eastAsia="黑体" w:cs="黑体"/>
          <w:b/>
          <w:bCs/>
          <w:sz w:val="32"/>
          <w:szCs w:val="32"/>
        </w:rPr>
      </w:pPr>
      <w:bookmarkStart w:id="31" w:name="_Toc9952"/>
    </w:p>
    <w:p>
      <w:pPr>
        <w:outlineLvl w:val="0"/>
        <w:rPr>
          <w:rFonts w:hint="default" w:ascii="黑体" w:hAnsi="黑体" w:eastAsia="黑体" w:cs="黑体"/>
          <w:b/>
          <w:bCs/>
          <w:sz w:val="32"/>
          <w:szCs w:val="32"/>
        </w:rPr>
      </w:pPr>
      <w:r>
        <w:rPr>
          <w:rFonts w:ascii="黑体" w:hAnsi="黑体" w:eastAsia="黑体" w:cs="黑体"/>
          <w:b/>
          <w:bCs/>
          <w:sz w:val="32"/>
          <w:szCs w:val="32"/>
        </w:rPr>
        <w:t>5.发明人分析</w:t>
      </w:r>
      <w:bookmarkEnd w:id="31"/>
      <w:r>
        <w:rPr>
          <w:rFonts w:ascii="黑体" w:hAnsi="黑体" w:eastAsia="黑体" w:cs="黑体"/>
          <w:sz w:val="32"/>
          <w:szCs w:val="32"/>
        </w:rPr>
        <w:t>（含合作者）</w:t>
      </w:r>
    </w:p>
    <w:p>
      <w:pPr>
        <w:adjustRightInd/>
        <w:spacing w:line="240" w:lineRule="atLeast"/>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sz w:val="28"/>
          <w:szCs w:val="28"/>
          <w:lang w:val="en-US" w:eastAsia="zh-CN"/>
        </w:rPr>
        <w:t>3</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37</w:t>
      </w:r>
      <w:r>
        <w:rPr>
          <w:rFonts w:hint="default" w:ascii="仿宋" w:hAnsi="仿宋" w:eastAsia="仿宋" w:cs="仿宋"/>
          <w:sz w:val="28"/>
          <w:szCs w:val="28"/>
        </w:rPr>
        <w:t>人</w:t>
      </w:r>
      <w:r>
        <w:rPr>
          <w:rFonts w:ascii="仿宋" w:hAnsi="仿宋" w:eastAsia="仿宋" w:cs="仿宋"/>
          <w:sz w:val="28"/>
          <w:szCs w:val="28"/>
        </w:rPr>
        <w:t>，</w:t>
      </w:r>
      <w:r>
        <w:rPr>
          <w:rFonts w:hint="default" w:ascii="仿宋" w:hAnsi="仿宋" w:eastAsia="仿宋" w:cs="仿宋"/>
          <w:sz w:val="28"/>
          <w:szCs w:val="28"/>
        </w:rPr>
        <w:t>参与</w:t>
      </w:r>
      <w:r>
        <w:rPr>
          <w:rFonts w:hint="eastAsia" w:ascii="仿宋" w:hAnsi="仿宋" w:eastAsia="仿宋" w:cs="仿宋"/>
          <w:sz w:val="28"/>
          <w:szCs w:val="28"/>
          <w:lang w:val="en-US" w:eastAsia="zh-CN"/>
        </w:rPr>
        <w:t>4</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19</w:t>
      </w:r>
      <w:r>
        <w:rPr>
          <w:rFonts w:hint="default" w:ascii="仿宋" w:hAnsi="仿宋" w:eastAsia="仿宋" w:cs="仿宋"/>
          <w:sz w:val="28"/>
          <w:szCs w:val="28"/>
        </w:rPr>
        <w:t>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参与5件专利以上的发明人有11人，</w:t>
      </w:r>
      <w:r>
        <w:rPr>
          <w:rFonts w:ascii="仿宋" w:hAnsi="仿宋" w:eastAsia="仿宋" w:cs="仿宋"/>
          <w:sz w:val="28"/>
          <w:szCs w:val="28"/>
        </w:rPr>
        <w:t>具体情况参见表2。</w:t>
      </w:r>
    </w:p>
    <w:p>
      <w:pPr>
        <w:adjustRightInd/>
        <w:spacing w:line="720" w:lineRule="auto"/>
        <w:jc w:val="both"/>
        <w:rPr>
          <w:rFonts w:ascii="仿宋" w:hAnsi="仿宋" w:eastAsia="仿宋" w:cs="仿宋"/>
          <w:b/>
          <w:bCs/>
          <w:sz w:val="24"/>
        </w:rPr>
      </w:pPr>
    </w:p>
    <w:p>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任晓光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张志强</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蔡爱军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李国昉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常学东</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李树珍</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高桂生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刘素稳</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齐永顺</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齐文远</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史秋梅</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王东升</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bookmarkStart w:id="32" w:name="_Toc20469"/>
            <w:bookmarkStart w:id="33" w:name="_Toc16727"/>
            <w:bookmarkStart w:id="34" w:name="_Toc6690"/>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程辉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吴同垒</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沈江涛</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r>
    </w:tbl>
    <w:p>
      <w:pPr>
        <w:pStyle w:val="14"/>
        <w:spacing w:before="156" w:beforeLines="50" w:after="156" w:afterLines="50" w:line="432" w:lineRule="auto"/>
        <w:ind w:firstLine="0" w:firstLineChars="0"/>
        <w:outlineLvl w:val="0"/>
        <w:rPr>
          <w:rFonts w:ascii="黑体" w:hAnsi="黑体" w:eastAsia="黑体" w:cs="黑体"/>
          <w:b/>
          <w:bCs/>
          <w:kern w:val="2"/>
          <w:sz w:val="32"/>
          <w:szCs w:val="32"/>
        </w:rPr>
      </w:pPr>
    </w:p>
    <w:p>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pPr>
        <w:pStyle w:val="7"/>
        <w:spacing w:before="0" w:beforeAutospacing="0" w:after="0" w:afterAutospacing="0" w:line="285" w:lineRule="atLeast"/>
        <w:ind w:firstLine="560" w:firstLineChars="200"/>
        <w:rPr>
          <w:rFonts w:ascii="仿宋" w:hAnsi="仿宋" w:eastAsia="仿宋"/>
          <w:color w:val="333333"/>
          <w:sz w:val="28"/>
          <w:shd w:val="clear" w:color="auto" w:fill="FFFFFF"/>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A01（农业；林业；畜牧业；狩猎；诱捕；捕鱼）、</w:t>
      </w:r>
      <w:r>
        <w:rPr>
          <w:rFonts w:hint="eastAsia" w:ascii="仿宋" w:hAnsi="仿宋" w:eastAsia="仿宋"/>
          <w:color w:val="333333"/>
          <w:sz w:val="28"/>
          <w:shd w:val="clear" w:color="auto" w:fill="FFFFFF"/>
          <w:lang w:val="en-US" w:eastAsia="zh-CN"/>
        </w:rPr>
        <w:t>C12（生物化学；啤酒；烈性酒；果汁酒；醋；微生物学；酶学；突变或遗传工程）、G01（测量；测试）、B01（一般的物理或化学的方法或装置）、</w:t>
      </w:r>
      <w:r>
        <w:rPr>
          <w:rFonts w:hint="eastAsia" w:ascii="仿宋" w:hAnsi="仿宋" w:eastAsia="仿宋"/>
          <w:color w:val="000000"/>
          <w:sz w:val="28"/>
          <w:lang w:val="en-US" w:eastAsia="zh-CN"/>
        </w:rPr>
        <w:t>A61（医学或兽医学；卫生学）</w:t>
      </w:r>
      <w:r>
        <w:rPr>
          <w:rFonts w:ascii="仿宋" w:hAnsi="仿宋" w:eastAsia="仿宋"/>
          <w:color w:val="333333"/>
          <w:sz w:val="28"/>
          <w:shd w:val="clear" w:color="auto" w:fill="FFFFFF"/>
        </w:rPr>
        <w:t>等，详情参见图6。</w:t>
      </w:r>
    </w:p>
    <w:p>
      <w:pPr>
        <w:pStyle w:val="7"/>
        <w:spacing w:before="0" w:beforeAutospacing="0" w:after="0" w:afterAutospacing="0" w:line="285" w:lineRule="atLeast"/>
        <w:rPr>
          <w:rFonts w:ascii="仿宋" w:hAnsi="仿宋" w:eastAsia="仿宋"/>
          <w:color w:val="333333"/>
          <w:sz w:val="28"/>
          <w:shd w:val="clear" w:color="auto" w:fill="FFFFFF"/>
        </w:rPr>
      </w:pPr>
    </w:p>
    <w:p>
      <w:pPr>
        <w:pStyle w:val="7"/>
        <w:spacing w:before="0" w:beforeAutospacing="0" w:after="0" w:afterAutospacing="0" w:line="285" w:lineRule="atLeast"/>
        <w:rPr>
          <w:rFonts w:ascii="仿宋" w:hAnsi="仿宋" w:eastAsia="仿宋"/>
          <w:color w:val="333333"/>
          <w:sz w:val="28"/>
          <w:shd w:val="clear" w:color="auto" w:fill="FFFFFF"/>
        </w:rPr>
      </w:pPr>
    </w:p>
    <w:p>
      <w:pPr>
        <w:pStyle w:val="7"/>
        <w:spacing w:before="0" w:beforeAutospacing="0" w:after="0" w:afterAutospacing="0" w:line="285" w:lineRule="atLeast"/>
        <w:rPr>
          <w:rFonts w:hint="default" w:ascii="仿宋" w:hAnsi="仿宋" w:eastAsia="仿宋"/>
          <w:color w:val="333333"/>
          <w:sz w:val="28"/>
          <w:shd w:val="clear" w:color="auto" w:fill="FFFFFF"/>
        </w:rPr>
      </w:pPr>
    </w:p>
    <w:p>
      <w:pPr>
        <w:pStyle w:val="14"/>
        <w:spacing w:line="720" w:lineRule="auto"/>
        <w:ind w:firstLine="0" w:firstLineChars="0"/>
        <w:jc w:val="center"/>
        <w:rPr>
          <w:rFonts w:ascii="仿宋" w:hAnsi="仿宋" w:eastAsia="仿宋"/>
          <w:b/>
          <w:sz w:val="24"/>
        </w:rPr>
      </w:pPr>
    </w:p>
    <w:p>
      <w:pPr>
        <w:pStyle w:val="14"/>
        <w:spacing w:line="600" w:lineRule="auto"/>
        <w:ind w:firstLine="0" w:firstLineChars="0"/>
        <w:jc w:val="center"/>
        <w:rPr>
          <w:rFonts w:hint="default"/>
        </w:rPr>
      </w:pPr>
      <w:r>
        <w:rPr>
          <w:rFonts w:ascii="仿宋" w:hAnsi="仿宋" w:eastAsia="仿宋"/>
          <w:b/>
          <w:sz w:val="24"/>
        </w:rPr>
        <w:t>图6：河北科技师范学院</w:t>
      </w:r>
      <w:r>
        <w:rPr>
          <w:rFonts w:hint="eastAsia" w:ascii="仿宋" w:hAnsi="仿宋" w:eastAsia="仿宋"/>
          <w:b/>
          <w:sz w:val="24"/>
          <w:lang w:eastAsia="zh-CN"/>
        </w:rPr>
        <w:t>2023年</w:t>
      </w:r>
      <w:r>
        <w:rPr>
          <w:rFonts w:ascii="仿宋" w:hAnsi="仿宋" w:eastAsia="仿宋"/>
          <w:b/>
          <w:sz w:val="24"/>
        </w:rPr>
        <w:t>专利技术领域与产业构成分布</w:t>
      </w:r>
    </w:p>
    <w:p>
      <w:pPr>
        <w:jc w:val="center"/>
        <w:rPr>
          <w:rFonts w:hint="default"/>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outlineLvl w:val="0"/>
        <w:rPr>
          <w:rFonts w:ascii="黑体" w:hAnsi="黑体" w:eastAsia="黑体" w:cs="黑体"/>
          <w:b/>
          <w:bCs/>
          <w:sz w:val="32"/>
          <w:szCs w:val="32"/>
        </w:rPr>
      </w:pPr>
      <w:bookmarkStart w:id="35" w:name="_Toc23978"/>
    </w:p>
    <w:p>
      <w:pPr>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103</w:t>
      </w:r>
      <w:r>
        <w:rPr>
          <w:rFonts w:ascii="仿宋" w:hAnsi="仿宋" w:eastAsia="仿宋" w:cs="仿宋"/>
          <w:sz w:val="28"/>
          <w:szCs w:val="28"/>
        </w:rPr>
        <w:t>件，占比</w:t>
      </w:r>
      <w:r>
        <w:rPr>
          <w:rFonts w:hint="eastAsia" w:ascii="仿宋" w:hAnsi="仿宋" w:eastAsia="仿宋" w:cs="仿宋"/>
          <w:sz w:val="28"/>
          <w:szCs w:val="28"/>
          <w:lang w:val="en-US" w:eastAsia="zh-CN"/>
        </w:rPr>
        <w:t>87.29</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15</w:t>
      </w:r>
      <w:r>
        <w:rPr>
          <w:rFonts w:ascii="仿宋" w:hAnsi="仿宋" w:eastAsia="仿宋" w:cs="仿宋"/>
          <w:sz w:val="28"/>
          <w:szCs w:val="28"/>
        </w:rPr>
        <w:t>件，占比</w:t>
      </w:r>
      <w:r>
        <w:rPr>
          <w:rFonts w:hint="eastAsia" w:ascii="仿宋" w:hAnsi="仿宋" w:eastAsia="仿宋" w:cs="仿宋"/>
          <w:sz w:val="28"/>
          <w:szCs w:val="28"/>
          <w:lang w:val="en-US" w:eastAsia="zh-CN"/>
        </w:rPr>
        <w:t>12.71</w:t>
      </w:r>
      <w:r>
        <w:rPr>
          <w:rFonts w:ascii="仿宋" w:hAnsi="仿宋" w:eastAsia="仿宋" w:cs="仿宋"/>
          <w:sz w:val="28"/>
          <w:szCs w:val="28"/>
        </w:rPr>
        <w:t>%；具体分布参见图7。</w:t>
      </w:r>
    </w:p>
    <w:p>
      <w:pPr>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专利申请机构分布</w:t>
      </w:r>
    </w:p>
    <w:p>
      <w:pPr>
        <w:spacing w:line="360" w:lineRule="auto"/>
        <w:jc w:val="center"/>
        <w:rPr>
          <w:rFonts w:hint="default" w:ascii="仿宋" w:hAnsi="仿宋" w:eastAsia="仿宋" w:cs="仿宋"/>
          <w:b/>
          <w:bCs/>
          <w:color w:val="000000"/>
          <w:sz w:val="24"/>
          <w:lang w:bidi="ar"/>
        </w:rPr>
      </w:pPr>
      <w:r>
        <w:drawing>
          <wp:inline distT="0" distB="0" distL="114300" distR="114300">
            <wp:extent cx="4580255" cy="2432685"/>
            <wp:effectExtent l="4445" t="5080" r="6350" b="1968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outlineLvl w:val="0"/>
        <w:rPr>
          <w:rFonts w:ascii="黑体" w:hAnsi="黑体" w:eastAsia="黑体" w:cs="黑体"/>
          <w:b/>
          <w:bCs/>
          <w:sz w:val="32"/>
          <w:szCs w:val="32"/>
        </w:rPr>
      </w:pPr>
      <w:bookmarkStart w:id="36" w:name="_Toc29"/>
    </w:p>
    <w:p>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2023年</w:t>
      </w:r>
      <w:r>
        <w:rPr>
          <w:rFonts w:ascii="仿宋" w:hAnsi="仿宋" w:eastAsia="仿宋" w:cs="仿宋"/>
          <w:sz w:val="28"/>
          <w:szCs w:val="28"/>
        </w:rPr>
        <w:t>我校公布公告的</w:t>
      </w:r>
      <w:r>
        <w:rPr>
          <w:rFonts w:hint="eastAsia" w:ascii="仿宋" w:hAnsi="仿宋" w:eastAsia="仿宋" w:cs="仿宋"/>
          <w:sz w:val="28"/>
          <w:szCs w:val="28"/>
          <w:lang w:val="en-US" w:eastAsia="zh-CN"/>
        </w:rPr>
        <w:t>118</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60</w:t>
      </w:r>
      <w:r>
        <w:rPr>
          <w:rFonts w:ascii="仿宋" w:hAnsi="仿宋" w:eastAsia="仿宋" w:cs="仿宋"/>
          <w:sz w:val="28"/>
          <w:szCs w:val="28"/>
        </w:rPr>
        <w:t>家，其中</w:t>
      </w:r>
      <w:r>
        <w:rPr>
          <w:rFonts w:hint="eastAsia" w:ascii="仿宋" w:hAnsi="仿宋" w:eastAsia="仿宋" w:cs="仿宋"/>
          <w:sz w:val="28"/>
          <w:szCs w:val="28"/>
        </w:rPr>
        <w:t>北京慕达星云知识产权代理事务所</w:t>
      </w:r>
      <w:r>
        <w:rPr>
          <w:rFonts w:ascii="仿宋" w:hAnsi="仿宋" w:eastAsia="仿宋" w:cs="仿宋"/>
          <w:sz w:val="28"/>
          <w:szCs w:val="28"/>
        </w:rPr>
        <w:t>、</w:t>
      </w:r>
      <w:r>
        <w:rPr>
          <w:rFonts w:hint="eastAsia" w:ascii="仿宋" w:hAnsi="仿宋" w:eastAsia="仿宋" w:cs="仿宋"/>
          <w:sz w:val="28"/>
          <w:szCs w:val="28"/>
        </w:rPr>
        <w:t>深圳中圳知识产权代理事务所</w:t>
      </w:r>
      <w:r>
        <w:rPr>
          <w:rFonts w:ascii="仿宋" w:hAnsi="仿宋" w:eastAsia="仿宋" w:cs="仿宋"/>
          <w:sz w:val="28"/>
          <w:szCs w:val="28"/>
        </w:rPr>
        <w:t>、</w:t>
      </w:r>
      <w:r>
        <w:rPr>
          <w:rFonts w:hint="eastAsia" w:ascii="仿宋" w:hAnsi="仿宋" w:eastAsia="仿宋" w:cs="仿宋"/>
          <w:sz w:val="28"/>
          <w:szCs w:val="28"/>
        </w:rPr>
        <w:t>北京千慕专利代理事务所</w:t>
      </w:r>
      <w:r>
        <w:rPr>
          <w:rFonts w:hint="eastAsia" w:ascii="仿宋" w:hAnsi="仿宋" w:eastAsia="仿宋" w:cs="仿宋"/>
          <w:sz w:val="28"/>
          <w:szCs w:val="28"/>
          <w:lang w:eastAsia="zh-CN"/>
        </w:rPr>
        <w:t>、北京睿智保诚专利代理事务所</w:t>
      </w:r>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2023年</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北京睿智保诚专利代理事务所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深圳树贤专利代理事务所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重庆百润洪知识产权代理有限公司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北京和联顺知识产权代理有限公司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北京盛凡佳华专利代理事务所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北京鑫知翼知识产权代理事务所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北京壹川鸣知识产权代理事务所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11</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北京中建联合知识产权代理事务所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西安铭泽知识产权代理事务所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bl>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2023年</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172A27"/>
    <w:rsid w:val="00172A27"/>
    <w:rsid w:val="003C5849"/>
    <w:rsid w:val="00720899"/>
    <w:rsid w:val="007C7DCA"/>
    <w:rsid w:val="00C96041"/>
    <w:rsid w:val="0B1D526B"/>
    <w:rsid w:val="0B6D1B6C"/>
    <w:rsid w:val="0CC56CA9"/>
    <w:rsid w:val="0CDC0E79"/>
    <w:rsid w:val="0D6D52D1"/>
    <w:rsid w:val="0E0E2157"/>
    <w:rsid w:val="0F076F9B"/>
    <w:rsid w:val="0FFF56D6"/>
    <w:rsid w:val="11B97A3C"/>
    <w:rsid w:val="1BEE40E8"/>
    <w:rsid w:val="1F817EB6"/>
    <w:rsid w:val="1FF138CE"/>
    <w:rsid w:val="275A53D4"/>
    <w:rsid w:val="289B5F52"/>
    <w:rsid w:val="2EAB0AAB"/>
    <w:rsid w:val="2F0A6346"/>
    <w:rsid w:val="2F44466F"/>
    <w:rsid w:val="36755FC0"/>
    <w:rsid w:val="3B380AF6"/>
    <w:rsid w:val="3E0F26DB"/>
    <w:rsid w:val="447E635E"/>
    <w:rsid w:val="456B524E"/>
    <w:rsid w:val="4A9C0518"/>
    <w:rsid w:val="50530F43"/>
    <w:rsid w:val="56555684"/>
    <w:rsid w:val="574F5177"/>
    <w:rsid w:val="59C363FA"/>
    <w:rsid w:val="5BDB3ECE"/>
    <w:rsid w:val="5D1972CD"/>
    <w:rsid w:val="5EF325CC"/>
    <w:rsid w:val="5F093E02"/>
    <w:rsid w:val="5F773F0E"/>
    <w:rsid w:val="67CB38AA"/>
    <w:rsid w:val="6D77388D"/>
    <w:rsid w:val="6F196D90"/>
    <w:rsid w:val="6FCD2D41"/>
    <w:rsid w:val="78154EF4"/>
    <w:rsid w:val="786372B2"/>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autoRedefine/>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autoRedefine/>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autoRedefine/>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autoRedefine/>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autoRedefine/>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autoRedefine/>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3&#24180;&#25105;&#26657;&#19987;&#21033;&#24773;&#20917;&#32479;&#35745;\CNKI-2023&#25105;&#26657;&#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专利总体趋势</a:t>
            </a:r>
            <a:endParaRPr b="0"/>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'[CNKI-2023我校专利数据.xlsx]1专利数量'!$A$2:$A$13</c:f>
              <c:numCache>
                <c:formatCode>yyyy"年"m"月"</c:formatCode>
                <c:ptCount val="12"/>
                <c:pt idx="0" c:formatCode="yyyy&quot;年&quot;m&quot;月&quot;">
                  <c:v>44927</c:v>
                </c:pt>
                <c:pt idx="1" c:formatCode="yyyy&quot;年&quot;m&quot;月&quot;">
                  <c:v>44958</c:v>
                </c:pt>
                <c:pt idx="2" c:formatCode="yyyy&quot;年&quot;m&quot;月&quot;">
                  <c:v>44986</c:v>
                </c:pt>
                <c:pt idx="3" c:formatCode="yyyy&quot;年&quot;m&quot;月&quot;">
                  <c:v>45017</c:v>
                </c:pt>
                <c:pt idx="4" c:formatCode="yyyy&quot;年&quot;m&quot;月&quot;">
                  <c:v>45047</c:v>
                </c:pt>
                <c:pt idx="5" c:formatCode="yyyy&quot;年&quot;m&quot;月&quot;">
                  <c:v>45078</c:v>
                </c:pt>
                <c:pt idx="6" c:formatCode="yyyy&quot;年&quot;m&quot;月&quot;">
                  <c:v>45108</c:v>
                </c:pt>
                <c:pt idx="7" c:formatCode="yyyy&quot;年&quot;m&quot;月&quot;">
                  <c:v>45139</c:v>
                </c:pt>
                <c:pt idx="8" c:formatCode="yyyy&quot;年&quot;m&quot;月&quot;">
                  <c:v>45170</c:v>
                </c:pt>
                <c:pt idx="9" c:formatCode="yyyy&quot;年&quot;m&quot;月&quot;">
                  <c:v>45200</c:v>
                </c:pt>
                <c:pt idx="10" c:formatCode="yyyy&quot;年&quot;m&quot;月&quot;">
                  <c:v>45231</c:v>
                </c:pt>
                <c:pt idx="11" c:formatCode="yyyy&quot;年&quot;m&quot;月&quot;">
                  <c:v>45261</c:v>
                </c:pt>
              </c:numCache>
            </c:numRef>
          </c:cat>
          <c:val>
            <c:numRef>
              <c:f>'[CNKI-2023我校专利数据.xlsx]1专利数量'!$B$2:$B$13</c:f>
              <c:numCache>
                <c:formatCode>General</c:formatCode>
                <c:ptCount val="12"/>
                <c:pt idx="0">
                  <c:v>17</c:v>
                </c:pt>
                <c:pt idx="1">
                  <c:v>6</c:v>
                </c:pt>
                <c:pt idx="2">
                  <c:v>20</c:v>
                </c:pt>
                <c:pt idx="3">
                  <c:v>4</c:v>
                </c:pt>
                <c:pt idx="4">
                  <c:v>9</c:v>
                </c:pt>
                <c:pt idx="5">
                  <c:v>12</c:v>
                </c:pt>
                <c:pt idx="6">
                  <c:v>7</c:v>
                </c:pt>
                <c:pt idx="7">
                  <c:v>10</c:v>
                </c:pt>
                <c:pt idx="8">
                  <c:v>8</c:v>
                </c:pt>
                <c:pt idx="9">
                  <c:v>6</c:v>
                </c:pt>
                <c:pt idx="10">
                  <c:v>11</c:v>
                </c:pt>
                <c:pt idx="11">
                  <c:v>8</c:v>
                </c:pt>
              </c:numCache>
            </c:numRef>
          </c:val>
          <c:smooth val="0"/>
        </c:ser>
        <c:dLbls>
          <c:showLegendKey val="0"/>
          <c:showVal val="1"/>
          <c:showCatName val="0"/>
          <c:showSerName val="0"/>
          <c:showPercent val="0"/>
          <c:showBubbleSize val="0"/>
        </c:dLbls>
        <c:marker val="0"/>
        <c:smooth val="0"/>
        <c:axId val="915662028"/>
        <c:axId val="211245089"/>
      </c:lineChart>
      <c:dateAx>
        <c:axId val="9156620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245089"/>
        <c:crosses val="autoZero"/>
        <c:auto val="1"/>
        <c:lblOffset val="100"/>
        <c:baseTimeUnit val="months"/>
      </c:dateAx>
      <c:valAx>
        <c:axId val="21124508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56620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专利类别</a:t>
            </a:r>
            <a:endParaRPr b="0"/>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'[CNKI-2023我校专利数据.xlsx]2专利类别'!$E$2:$E$5</c:f>
              <c:strCache>
                <c:ptCount val="4"/>
                <c:pt idx="0">
                  <c:v>发明公开</c:v>
                </c:pt>
                <c:pt idx="1">
                  <c:v>发明授权</c:v>
                </c:pt>
                <c:pt idx="2">
                  <c:v>实用新型</c:v>
                </c:pt>
                <c:pt idx="3">
                  <c:v>外观设计</c:v>
                </c:pt>
              </c:strCache>
            </c:strRef>
          </c:cat>
          <c:val>
            <c:numRef>
              <c:f>'[CNKI-2023我校专利数据.xlsx]2专利类别'!$F$2:$F$5</c:f>
              <c:numCache>
                <c:formatCode>General</c:formatCode>
                <c:ptCount val="4"/>
                <c:pt idx="0">
                  <c:v>55</c:v>
                </c:pt>
                <c:pt idx="1">
                  <c:v>42</c:v>
                </c:pt>
                <c:pt idx="2">
                  <c:v>18</c:v>
                </c:pt>
                <c:pt idx="3">
                  <c:v>6</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学科分布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'[CNKI-2023我校专利数据.xlsx]3学科分析'!$E$2:$E$21</c:f>
              <c:strCache>
                <c:ptCount val="20"/>
                <c:pt idx="0">
                  <c:v>轻工业手工业</c:v>
                </c:pt>
                <c:pt idx="1">
                  <c:v>化学</c:v>
                </c:pt>
                <c:pt idx="2">
                  <c:v>有机化工</c:v>
                </c:pt>
                <c:pt idx="3">
                  <c:v>材料科学</c:v>
                </c:pt>
                <c:pt idx="4">
                  <c:v>生物学</c:v>
                </c:pt>
                <c:pt idx="5">
                  <c:v>农业工程</c:v>
                </c:pt>
                <c:pt idx="6">
                  <c:v>无机化工</c:v>
                </c:pt>
                <c:pt idx="7">
                  <c:v>机械工业</c:v>
                </c:pt>
                <c:pt idx="8">
                  <c:v>计算机软件及计算机技术</c:v>
                </c:pt>
                <c:pt idx="9">
                  <c:v>园艺</c:v>
                </c:pt>
                <c:pt idx="10">
                  <c:v>中药学</c:v>
                </c:pt>
                <c:pt idx="11">
                  <c:v>建筑科学与工程</c:v>
                </c:pt>
                <c:pt idx="12">
                  <c:v>农艺学</c:v>
                </c:pt>
                <c:pt idx="13">
                  <c:v>工业通用技术及设备</c:v>
                </c:pt>
                <c:pt idx="14">
                  <c:v>药学</c:v>
                </c:pt>
                <c:pt idx="15">
                  <c:v>仪器仪表工业</c:v>
                </c:pt>
                <c:pt idx="16">
                  <c:v>无线电电子学</c:v>
                </c:pt>
                <c:pt idx="17">
                  <c:v>植物保护</c:v>
                </c:pt>
                <c:pt idx="18">
                  <c:v>水产和渔业</c:v>
                </c:pt>
                <c:pt idx="19">
                  <c:v>蚕蜂与野生动物保护</c:v>
                </c:pt>
              </c:strCache>
            </c:strRef>
          </c:cat>
          <c:val>
            <c:numRef>
              <c:f>'[CNKI-2023我校专利数据.xlsx]3学科分析'!$F$2:$F$21</c:f>
              <c:numCache>
                <c:formatCode>General</c:formatCode>
                <c:ptCount val="20"/>
                <c:pt idx="0">
                  <c:v>28</c:v>
                </c:pt>
                <c:pt idx="1">
                  <c:v>10</c:v>
                </c:pt>
                <c:pt idx="2">
                  <c:v>9</c:v>
                </c:pt>
                <c:pt idx="3">
                  <c:v>8</c:v>
                </c:pt>
                <c:pt idx="4">
                  <c:v>8</c:v>
                </c:pt>
                <c:pt idx="5">
                  <c:v>6</c:v>
                </c:pt>
                <c:pt idx="6">
                  <c:v>6</c:v>
                </c:pt>
                <c:pt idx="7">
                  <c:v>6</c:v>
                </c:pt>
                <c:pt idx="8">
                  <c:v>5</c:v>
                </c:pt>
                <c:pt idx="9">
                  <c:v>5</c:v>
                </c:pt>
                <c:pt idx="10">
                  <c:v>5</c:v>
                </c:pt>
                <c:pt idx="11">
                  <c:v>4</c:v>
                </c:pt>
                <c:pt idx="12">
                  <c:v>4</c:v>
                </c:pt>
                <c:pt idx="13">
                  <c:v>4</c:v>
                </c:pt>
                <c:pt idx="14">
                  <c:v>3</c:v>
                </c:pt>
                <c:pt idx="15">
                  <c:v>3</c:v>
                </c:pt>
                <c:pt idx="16">
                  <c:v>2</c:v>
                </c:pt>
                <c:pt idx="17">
                  <c:v>2</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主要主题分布</a:t>
            </a:r>
            <a:endParaRPr b="0"/>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'[CNKI-2023我校专利数据.xlsx]4主题词分析'!$E$2:$E$40</c:f>
              <c:strCache>
                <c:ptCount val="39"/>
                <c:pt idx="0">
                  <c:v>制备方法</c:v>
                </c:pt>
                <c:pt idx="1">
                  <c:v>层压机</c:v>
                </c:pt>
                <c:pt idx="2">
                  <c:v>方法与应用</c:v>
                </c:pt>
                <c:pt idx="3">
                  <c:v>外观设计</c:v>
                </c:pt>
                <c:pt idx="4">
                  <c:v>组合物</c:v>
                </c:pt>
                <c:pt idx="5">
                  <c:v>介电电泳</c:v>
                </c:pt>
                <c:pt idx="6">
                  <c:v>加热片</c:v>
                </c:pt>
                <c:pt idx="7">
                  <c:v>中草药</c:v>
                </c:pt>
                <c:pt idx="8">
                  <c:v>施工方法</c:v>
                </c:pt>
                <c:pt idx="9">
                  <c:v>捡拾机</c:v>
                </c:pt>
                <c:pt idx="10">
                  <c:v>土木工程</c:v>
                </c:pt>
                <c:pt idx="11">
                  <c:v>检测设备</c:v>
                </c:pt>
                <c:pt idx="12">
                  <c:v>气体净化装置</c:v>
                </c:pt>
                <c:pt idx="13">
                  <c:v>壳聚糖</c:v>
                </c:pt>
                <c:pt idx="14">
                  <c:v>聚合物</c:v>
                </c:pt>
                <c:pt idx="15">
                  <c:v>氧化石墨烯</c:v>
                </c:pt>
                <c:pt idx="16">
                  <c:v>防泄密</c:v>
                </c:pt>
                <c:pt idx="17">
                  <c:v>电极结构</c:v>
                </c:pt>
                <c:pt idx="18">
                  <c:v>火山岩</c:v>
                </c:pt>
                <c:pt idx="19">
                  <c:v>单元模块</c:v>
                </c:pt>
                <c:pt idx="20">
                  <c:v>密勒楼盖结构</c:v>
                </c:pt>
                <c:pt idx="21">
                  <c:v>高介电材料</c:v>
                </c:pt>
                <c:pt idx="22">
                  <c:v>基因缺失</c:v>
                </c:pt>
                <c:pt idx="23">
                  <c:v>经济学</c:v>
                </c:pt>
                <c:pt idx="24">
                  <c:v>雨水利用</c:v>
                </c:pt>
                <c:pt idx="25">
                  <c:v>快速鉴别</c:v>
                </c:pt>
                <c:pt idx="26">
                  <c:v>指示标签</c:v>
                </c:pt>
                <c:pt idx="27">
                  <c:v>学前教育</c:v>
                </c:pt>
                <c:pt idx="28">
                  <c:v>检测装置</c:v>
                </c:pt>
                <c:pt idx="29">
                  <c:v>快速拆装</c:v>
                </c:pt>
                <c:pt idx="30">
                  <c:v>支撑设备</c:v>
                </c:pt>
                <c:pt idx="31">
                  <c:v>升降式</c:v>
                </c:pt>
                <c:pt idx="32">
                  <c:v>Cu-Co-3O-4</c:v>
                </c:pt>
                <c:pt idx="33">
                  <c:v>石墨烯复合材料</c:v>
                </c:pt>
                <c:pt idx="34">
                  <c:v>滑模机</c:v>
                </c:pt>
                <c:pt idx="35">
                  <c:v>盐碱地</c:v>
                </c:pt>
                <c:pt idx="36">
                  <c:v>低共熔溶剂</c:v>
                </c:pt>
                <c:pt idx="37">
                  <c:v>相对转动</c:v>
                </c:pt>
                <c:pt idx="38">
                  <c:v>太阳电池组件</c:v>
                </c:pt>
              </c:strCache>
            </c:strRef>
          </c:cat>
          <c:val>
            <c:numRef>
              <c:f>'[CNKI-2023我校专利数据.xlsx]4主题词分析'!$F$2:$F$40</c:f>
              <c:numCache>
                <c:formatCode>General</c:formatCode>
                <c:ptCount val="39"/>
                <c:pt idx="0">
                  <c:v>16</c:v>
                </c:pt>
                <c:pt idx="1">
                  <c:v>8</c:v>
                </c:pt>
                <c:pt idx="2">
                  <c:v>6</c:v>
                </c:pt>
                <c:pt idx="3">
                  <c:v>5</c:v>
                </c:pt>
                <c:pt idx="4">
                  <c:v>4</c:v>
                </c:pt>
                <c:pt idx="5">
                  <c:v>4</c:v>
                </c:pt>
                <c:pt idx="6">
                  <c:v>4</c:v>
                </c:pt>
                <c:pt idx="7">
                  <c:v>3</c:v>
                </c:pt>
                <c:pt idx="8">
                  <c:v>3</c:v>
                </c:pt>
                <c:pt idx="9">
                  <c:v>3</c:v>
                </c:pt>
                <c:pt idx="10">
                  <c:v>2</c:v>
                </c:pt>
                <c:pt idx="11">
                  <c:v>2</c:v>
                </c:pt>
                <c:pt idx="12">
                  <c:v>2</c:v>
                </c:pt>
                <c:pt idx="13">
                  <c:v>2</c:v>
                </c:pt>
                <c:pt idx="14">
                  <c:v>2</c:v>
                </c:pt>
                <c:pt idx="15">
                  <c:v>2</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numCache>
            </c:numRef>
          </c:val>
        </c:ser>
        <c:dLbls>
          <c:showLegendKey val="0"/>
          <c:showVal val="1"/>
          <c:showCatName val="0"/>
          <c:showSerName val="0"/>
          <c:showPercent val="0"/>
          <c:showBubbleSize val="0"/>
        </c:dLbls>
        <c:gapWidth val="246"/>
        <c:overlap val="-28"/>
        <c:axId val="438201488"/>
        <c:axId val="720048590"/>
      </c:barChart>
      <c:catAx>
        <c:axId val="438201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0048590"/>
        <c:crosses val="autoZero"/>
        <c:auto val="1"/>
        <c:lblAlgn val="ctr"/>
        <c:lblOffset val="100"/>
        <c:noMultiLvlLbl val="0"/>
      </c:catAx>
      <c:valAx>
        <c:axId val="72004859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820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次要主题分布</a:t>
            </a:r>
            <a:endParaRPr b="0"/>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'[CNKI-2023我校专利数据.xlsx]4主题词分析'!$M$2:$M$41</c:f>
              <c:strCache>
                <c:ptCount val="40"/>
                <c:pt idx="0">
                  <c:v>固定连接</c:v>
                </c:pt>
                <c:pt idx="1">
                  <c:v>立体图</c:v>
                </c:pt>
                <c:pt idx="2">
                  <c:v>电池组件</c:v>
                </c:pt>
                <c:pt idx="3">
                  <c:v>传送带</c:v>
                </c:pt>
                <c:pt idx="4">
                  <c:v>万向轮</c:v>
                </c:pt>
                <c:pt idx="5">
                  <c:v>凯撒密码</c:v>
                </c:pt>
                <c:pt idx="6">
                  <c:v>偏移量</c:v>
                </c:pt>
                <c:pt idx="7">
                  <c:v>定位板</c:v>
                </c:pt>
                <c:pt idx="8">
                  <c:v>二维矩阵</c:v>
                </c:pt>
                <c:pt idx="9">
                  <c:v>特征块</c:v>
                </c:pt>
                <c:pt idx="10">
                  <c:v>安装板</c:v>
                </c:pt>
                <c:pt idx="11">
                  <c:v>伸缩杆</c:v>
                </c:pt>
                <c:pt idx="12">
                  <c:v>外表面</c:v>
                </c:pt>
                <c:pt idx="13">
                  <c:v>定位孔</c:v>
                </c:pt>
                <c:pt idx="14">
                  <c:v>羧甲基聚壳糖</c:v>
                </c:pt>
                <c:pt idx="15">
                  <c:v>文字结构</c:v>
                </c:pt>
                <c:pt idx="16">
                  <c:v>板栗仁</c:v>
                </c:pt>
                <c:pt idx="17">
                  <c:v>定滑轮</c:v>
                </c:pt>
                <c:pt idx="18">
                  <c:v>电动推杆</c:v>
                </c:pt>
                <c:pt idx="19">
                  <c:v>中空管</c:v>
                </c:pt>
                <c:pt idx="20">
                  <c:v>出料口</c:v>
                </c:pt>
                <c:pt idx="21">
                  <c:v>电极结构</c:v>
                </c:pt>
                <c:pt idx="22">
                  <c:v>介电常数</c:v>
                </c:pt>
                <c:pt idx="23">
                  <c:v>抗菌剂</c:v>
                </c:pt>
                <c:pt idx="24">
                  <c:v>酿酒酵母</c:v>
                </c:pt>
                <c:pt idx="25">
                  <c:v>安装架</c:v>
                </c:pt>
                <c:pt idx="26">
                  <c:v>陶瓷体</c:v>
                </c:pt>
                <c:pt idx="27">
                  <c:v>浸种处理</c:v>
                </c:pt>
                <c:pt idx="28">
                  <c:v>八面体</c:v>
                </c:pt>
                <c:pt idx="29">
                  <c:v>抗坏血酸</c:v>
                </c:pt>
                <c:pt idx="30">
                  <c:v>体积计</c:v>
                </c:pt>
                <c:pt idx="31">
                  <c:v>纵膈板</c:v>
                </c:pt>
                <c:pt idx="32">
                  <c:v>RhB</c:v>
                </c:pt>
                <c:pt idx="33">
                  <c:v>磷酸一铵</c:v>
                </c:pt>
                <c:pt idx="34">
                  <c:v>参数更新</c:v>
                </c:pt>
                <c:pt idx="35">
                  <c:v>支撑架</c:v>
                </c:pt>
                <c:pt idx="36">
                  <c:v>酶处理</c:v>
                </c:pt>
                <c:pt idx="37">
                  <c:v>分隔板</c:v>
                </c:pt>
                <c:pt idx="38">
                  <c:v>生防菌剂</c:v>
                </c:pt>
                <c:pt idx="39">
                  <c:v>限位螺栓</c:v>
                </c:pt>
              </c:strCache>
            </c:strRef>
          </c:cat>
          <c:val>
            <c:numRef>
              <c:f>'[CNKI-2023我校专利数据.xlsx]4主题词分析'!$N$2:$N$41</c:f>
              <c:numCache>
                <c:formatCode>General</c:formatCode>
                <c:ptCount val="40"/>
                <c:pt idx="0">
                  <c:v>12</c:v>
                </c:pt>
                <c:pt idx="1">
                  <c:v>5</c:v>
                </c:pt>
                <c:pt idx="2">
                  <c:v>5</c:v>
                </c:pt>
                <c:pt idx="3">
                  <c:v>3</c:v>
                </c:pt>
                <c:pt idx="4">
                  <c:v>3</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947149380"/>
        <c:axId val="848072421"/>
      </c:barChart>
      <c:catAx>
        <c:axId val="9471493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8072421"/>
        <c:crosses val="autoZero"/>
        <c:auto val="1"/>
        <c:lblAlgn val="ctr"/>
        <c:lblOffset val="100"/>
        <c:noMultiLvlLbl val="0"/>
      </c:catAx>
      <c:valAx>
        <c:axId val="84807242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71493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技术领域与产业构成分布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Pt>
            <c:idx val="30"/>
            <c:bubble3D val="0"/>
            <c:spPr>
              <a:solidFill>
                <a:schemeClr val="accent1">
                  <a:lumMod val="50000"/>
                </a:schemeClr>
              </a:solidFill>
              <a:ln>
                <a:solidFill>
                  <a:schemeClr val="bg1"/>
                </a:solidFill>
              </a:ln>
              <a:effectLst/>
            </c:spPr>
          </c:dPt>
          <c:dPt>
            <c:idx val="31"/>
            <c:bubble3D val="0"/>
            <c:spPr>
              <a:solidFill>
                <a:schemeClr val="accent2">
                  <a:lumMod val="50000"/>
                </a:schemeClr>
              </a:solidFill>
              <a:ln>
                <a:solidFill>
                  <a:schemeClr val="bg1"/>
                </a:solidFill>
              </a:ln>
              <a:effectLst/>
            </c:spPr>
          </c:dPt>
          <c:dPt>
            <c:idx val="32"/>
            <c:bubble3D val="0"/>
            <c:spPr>
              <a:solidFill>
                <a:schemeClr val="accent3">
                  <a:lumMod val="50000"/>
                </a:schemeClr>
              </a:solidFill>
              <a:ln>
                <a:solidFill>
                  <a:schemeClr val="bg1"/>
                </a:solidFill>
              </a:ln>
              <a:effectLst/>
            </c:spPr>
          </c:dPt>
          <c:dPt>
            <c:idx val="33"/>
            <c:bubble3D val="0"/>
            <c:spPr>
              <a:solidFill>
                <a:schemeClr val="accent4">
                  <a:lumMod val="50000"/>
                </a:schemeClr>
              </a:solidFill>
              <a:ln>
                <a:solidFill>
                  <a:schemeClr val="bg1"/>
                </a:solidFill>
              </a:ln>
              <a:effectLst/>
            </c:spPr>
          </c:dPt>
          <c:dPt>
            <c:idx val="34"/>
            <c:bubble3D val="0"/>
            <c:spPr>
              <a:solidFill>
                <a:schemeClr val="accent5">
                  <a:lumMod val="50000"/>
                </a:schemeClr>
              </a:solidFill>
              <a:ln>
                <a:solidFill>
                  <a:schemeClr val="bg1"/>
                </a:solidFill>
              </a:ln>
              <a:effectLst/>
            </c:spPr>
          </c:dPt>
          <c:dPt>
            <c:idx val="35"/>
            <c:bubble3D val="0"/>
            <c:spPr>
              <a:solidFill>
                <a:schemeClr val="accent6">
                  <a:lumMod val="5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'[CNKI-2023我校专利数据.xlsx]6IPC'!$E$3:$E$38</c:f>
              <c:strCache>
                <c:ptCount val="36"/>
                <c:pt idx="0">
                  <c:v>A01</c:v>
                </c:pt>
                <c:pt idx="1">
                  <c:v>C12</c:v>
                </c:pt>
                <c:pt idx="2">
                  <c:v>G01</c:v>
                </c:pt>
                <c:pt idx="3">
                  <c:v>B01</c:v>
                </c:pt>
                <c:pt idx="4">
                  <c:v>A61</c:v>
                </c:pt>
                <c:pt idx="5">
                  <c:v>B32</c:v>
                </c:pt>
                <c:pt idx="6">
                  <c:v>G06</c:v>
                </c:pt>
                <c:pt idx="7">
                  <c:v>B65</c:v>
                </c:pt>
                <c:pt idx="8">
                  <c:v>C08</c:v>
                </c:pt>
                <c:pt idx="9">
                  <c:v>E04</c:v>
                </c:pt>
                <c:pt idx="10">
                  <c:v>A23</c:v>
                </c:pt>
                <c:pt idx="11">
                  <c:v>F16</c:v>
                </c:pt>
                <c:pt idx="12">
                  <c:v>G09</c:v>
                </c:pt>
                <c:pt idx="13" c:formatCode="@">
                  <c:v>06-01</c:v>
                </c:pt>
                <c:pt idx="14">
                  <c:v>A47</c:v>
                </c:pt>
                <c:pt idx="15">
                  <c:v>A63</c:v>
                </c:pt>
                <c:pt idx="16">
                  <c:v>H01</c:v>
                </c:pt>
                <c:pt idx="17" c:formatCode="@">
                  <c:v>06-06</c:v>
                </c:pt>
                <c:pt idx="18" c:formatCode="@">
                  <c:v>08-09</c:v>
                </c:pt>
                <c:pt idx="19" c:formatCode="@">
                  <c:v>09-01</c:v>
                </c:pt>
                <c:pt idx="20" c:formatCode="@">
                  <c:v>20-23</c:v>
                </c:pt>
                <c:pt idx="21">
                  <c:v>A21</c:v>
                </c:pt>
                <c:pt idx="22">
                  <c:v>B05</c:v>
                </c:pt>
                <c:pt idx="23">
                  <c:v>B08</c:v>
                </c:pt>
                <c:pt idx="24">
                  <c:v>B27</c:v>
                </c:pt>
                <c:pt idx="25">
                  <c:v>B30</c:v>
                </c:pt>
                <c:pt idx="26">
                  <c:v>B62</c:v>
                </c:pt>
                <c:pt idx="27">
                  <c:v>B66</c:v>
                </c:pt>
                <c:pt idx="28">
                  <c:v>C02</c:v>
                </c:pt>
                <c:pt idx="29">
                  <c:v>C05</c:v>
                </c:pt>
                <c:pt idx="30">
                  <c:v>E01</c:v>
                </c:pt>
                <c:pt idx="31">
                  <c:v>E21</c:v>
                </c:pt>
                <c:pt idx="32">
                  <c:v>F24</c:v>
                </c:pt>
                <c:pt idx="33">
                  <c:v>F26</c:v>
                </c:pt>
                <c:pt idx="34">
                  <c:v>G02</c:v>
                </c:pt>
                <c:pt idx="35">
                  <c:v>G05</c:v>
                </c:pt>
              </c:strCache>
            </c:strRef>
          </c:cat>
          <c:val>
            <c:numRef>
              <c:f>'[CNKI-2023我校专利数据.xlsx]6IPC'!$F$3:$F$38</c:f>
              <c:numCache>
                <c:formatCode>@</c:formatCode>
                <c:ptCount val="36"/>
                <c:pt idx="0">
                  <c:v>23</c:v>
                </c:pt>
                <c:pt idx="1">
                  <c:v>11</c:v>
                </c:pt>
                <c:pt idx="2">
                  <c:v>9</c:v>
                </c:pt>
                <c:pt idx="3">
                  <c:v>8</c:v>
                </c:pt>
                <c:pt idx="4">
                  <c:v>7</c:v>
                </c:pt>
                <c:pt idx="5">
                  <c:v>6</c:v>
                </c:pt>
                <c:pt idx="6">
                  <c:v>6</c:v>
                </c:pt>
                <c:pt idx="7">
                  <c:v>4</c:v>
                </c:pt>
                <c:pt idx="8">
                  <c:v>4</c:v>
                </c:pt>
                <c:pt idx="9">
                  <c:v>4</c:v>
                </c:pt>
                <c:pt idx="10">
                  <c:v>3</c:v>
                </c:pt>
                <c:pt idx="11">
                  <c:v>3</c:v>
                </c:pt>
                <c:pt idx="12">
                  <c:v>3</c:v>
                </c:pt>
                <c:pt idx="13">
                  <c:v>2</c:v>
                </c:pt>
                <c:pt idx="14">
                  <c:v>2</c:v>
                </c:pt>
                <c:pt idx="15">
                  <c:v>2</c:v>
                </c:pt>
                <c:pt idx="16">
                  <c:v>2</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申请机构分布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'[CNKI-2023我校专利数据.xlsx]7申请机构'!$C$1:$C$2</c:f>
              <c:strCache>
                <c:ptCount val="2"/>
                <c:pt idx="0">
                  <c:v>河北科技师范学院</c:v>
                </c:pt>
                <c:pt idx="1">
                  <c:v>河北科技师范学院+其他</c:v>
                </c:pt>
              </c:strCache>
            </c:strRef>
          </c:cat>
          <c:val>
            <c:numRef>
              <c:f>'[CNKI-2023我校专利数据.xlsx]7申请机构'!$D$1:$D$2</c:f>
              <c:numCache>
                <c:formatCode>General</c:formatCode>
                <c:ptCount val="2"/>
                <c:pt idx="0">
                  <c:v>103</c:v>
                </c:pt>
                <c:pt idx="1">
                  <c:v>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1880</Words>
  <Characters>2036</Characters>
  <Lines>20</Lines>
  <Paragraphs>5</Paragraphs>
  <TotalTime>5</TotalTime>
  <ScaleCrop>false</ScaleCrop>
  <LinksUpToDate>false</LinksUpToDate>
  <CharactersWithSpaces>2388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2024-04-18T06:46:57Z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55800B5F88B5493DA75F3E47F422650E_13</vt:lpwstr>
  </property>
</Properties>
</file>