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2024年第一季度发文分析报告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2024年第一季度发文分析报告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10099"/>
      <w:bookmarkStart w:id="1" w:name="_Toc28842"/>
      <w:bookmarkStart w:id="2" w:name="_Toc20864"/>
      <w:r>
        <w:rPr>
          <w:rFonts w:hint="eastAsia" w:ascii="宋体" w:hAnsi="宋体" w:eastAsia="宋体" w:cs="宋体"/>
          <w:b/>
          <w:bCs/>
          <w:sz w:val="24"/>
          <w:szCs w:val="24"/>
        </w:rPr>
        <w:t>数据来源</w:t>
      </w:r>
      <w:bookmarkEnd w:id="0"/>
      <w:bookmarkEnd w:id="1"/>
      <w:bookmarkEnd w:id="2"/>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4</w:t>
      </w:r>
      <w:r>
        <w:rPr>
          <w:rFonts w:hint="eastAsia" w:ascii="宋体" w:hAnsi="宋体" w:eastAsia="宋体" w:cs="宋体"/>
          <w:sz w:val="24"/>
          <w:szCs w:val="24"/>
        </w:rPr>
        <w:t>月</w:t>
      </w:r>
      <w:r>
        <w:rPr>
          <w:rFonts w:hint="eastAsia" w:ascii="宋体" w:hAnsi="宋体" w:eastAsia="宋体" w:cs="宋体"/>
          <w:sz w:val="24"/>
          <w:szCs w:val="24"/>
          <w:lang w:val="en-US" w:eastAsia="zh-CN"/>
        </w:rPr>
        <w:t>25</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2024年4</w:t>
      </w:r>
      <w:r>
        <w:rPr>
          <w:rFonts w:hint="eastAsia" w:ascii="宋体" w:hAnsi="宋体" w:eastAsia="宋体" w:cs="宋体"/>
          <w:sz w:val="24"/>
          <w:szCs w:val="24"/>
        </w:rPr>
        <w:t>月</w:t>
      </w:r>
      <w:r>
        <w:rPr>
          <w:rFonts w:hint="eastAsia" w:ascii="宋体" w:hAnsi="宋体" w:eastAsia="宋体" w:cs="宋体"/>
          <w:sz w:val="24"/>
          <w:szCs w:val="24"/>
          <w:lang w:val="en-US" w:eastAsia="zh-CN"/>
        </w:rPr>
        <w:t>28</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3" w:name="_Toc27687"/>
      <w:bookmarkStart w:id="4" w:name="_Toc9355"/>
      <w:bookmarkStart w:id="5" w:name="_Toc14137"/>
      <w:r>
        <w:rPr>
          <w:rFonts w:hint="eastAsia" w:ascii="宋体" w:hAnsi="宋体" w:eastAsia="宋体" w:cs="宋体"/>
          <w:b/>
          <w:bCs/>
          <w:sz w:val="24"/>
          <w:szCs w:val="24"/>
        </w:rPr>
        <w:t>数据处理</w:t>
      </w:r>
      <w:bookmarkEnd w:id="3"/>
      <w:bookmarkEnd w:id="4"/>
      <w:bookmarkEnd w:id="5"/>
    </w:p>
    <w:p>
      <w:pPr>
        <w:spacing w:line="480" w:lineRule="auto"/>
        <w:ind w:firstLine="480" w:firstLineChars="200"/>
        <w:outlineLvl w:val="0"/>
        <w:rPr>
          <w:rFonts w:hint="eastAsia" w:ascii="宋体" w:hAnsi="宋体" w:eastAsia="宋体" w:cs="宋体"/>
          <w:sz w:val="24"/>
          <w:szCs w:val="24"/>
        </w:rPr>
      </w:pPr>
      <w:bookmarkStart w:id="6" w:name="_Toc1528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8" w:name="_Toc5375"/>
      <w:bookmarkStart w:id="9" w:name="_Toc30686"/>
      <w:bookmarkStart w:id="10" w:name="_Toc24960"/>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sz w:val="24"/>
          <w:szCs w:val="24"/>
          <w:lang w:val="en-US" w:eastAsia="zh-CN"/>
        </w:rPr>
      </w:pPr>
      <w:bookmarkStart w:id="11" w:name="_Toc6620"/>
      <w:bookmarkStart w:id="12" w:name="_Toc16630"/>
      <w:bookmarkStart w:id="13"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both"/>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14" w:name="_Toc10613"/>
      <w:bookmarkStart w:id="15" w:name="_Toc9858"/>
      <w:bookmarkStart w:id="16" w:name="_Toc7382"/>
      <w:bookmarkStart w:id="17" w:name="_Toc26929"/>
      <w:r>
        <w:rPr>
          <w:rFonts w:hint="eastAsia" w:ascii="黑体" w:hAnsi="黑体" w:eastAsia="黑体" w:cs="黑体"/>
          <w:b/>
          <w:bCs/>
          <w:sz w:val="44"/>
          <w:szCs w:val="44"/>
          <w:lang w:val="en-US" w:eastAsia="zh-CN"/>
        </w:rPr>
        <w:t>河北科技师范学院</w:t>
      </w:r>
      <w:bookmarkEnd w:id="14"/>
      <w:bookmarkEnd w:id="15"/>
      <w:bookmarkEnd w:id="16"/>
      <w:bookmarkEnd w:id="17"/>
    </w:p>
    <w:p>
      <w:pPr>
        <w:jc w:val="center"/>
        <w:outlineLvl w:val="0"/>
        <w:rPr>
          <w:rFonts w:hint="eastAsia" w:ascii="黑体" w:hAnsi="黑体" w:eastAsia="黑体" w:cs="黑体"/>
          <w:b/>
          <w:bCs/>
          <w:sz w:val="44"/>
          <w:szCs w:val="44"/>
          <w:lang w:val="en-US" w:eastAsia="zh-CN"/>
        </w:rPr>
      </w:pPr>
      <w:bookmarkStart w:id="18" w:name="_Toc8013"/>
      <w:bookmarkStart w:id="19" w:name="_Toc15096"/>
      <w:bookmarkStart w:id="20" w:name="_Toc9198"/>
      <w:bookmarkStart w:id="21" w:name="_Toc28898"/>
      <w:r>
        <w:rPr>
          <w:rFonts w:hint="eastAsia" w:ascii="黑体" w:hAnsi="黑体" w:eastAsia="黑体" w:cs="黑体"/>
          <w:b/>
          <w:bCs/>
          <w:sz w:val="44"/>
          <w:szCs w:val="44"/>
          <w:lang w:val="en-US" w:eastAsia="zh-CN"/>
        </w:rPr>
        <w:t>2024年第一季度发文分析报告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2" w:name="_Toc3849"/>
      <w:bookmarkStart w:id="23" w:name="_Toc7154"/>
      <w:r>
        <w:rPr>
          <w:rFonts w:hint="eastAsia" w:ascii="黑体" w:hAnsi="黑体" w:eastAsia="黑体" w:cs="黑体"/>
          <w:b/>
          <w:bCs/>
          <w:sz w:val="32"/>
          <w:szCs w:val="32"/>
          <w:lang w:val="en-US" w:eastAsia="zh-CN"/>
        </w:rPr>
        <w:t>中文发文情况统计分析</w:t>
      </w:r>
      <w:bookmarkEnd w:id="22"/>
      <w:bookmarkEnd w:id="23"/>
    </w:p>
    <w:p>
      <w:pPr>
        <w:numPr>
          <w:ilvl w:val="0"/>
          <w:numId w:val="2"/>
        </w:numPr>
        <w:jc w:val="both"/>
        <w:outlineLvl w:val="1"/>
        <w:rPr>
          <w:rFonts w:hint="eastAsia" w:ascii="仿宋" w:hAnsi="仿宋" w:eastAsia="仿宋" w:cs="仿宋"/>
          <w:b/>
          <w:bCs/>
          <w:sz w:val="30"/>
          <w:szCs w:val="30"/>
          <w:lang w:val="en-US" w:eastAsia="zh-CN"/>
        </w:rPr>
      </w:pPr>
      <w:bookmarkStart w:id="24" w:name="_Toc10954"/>
      <w:bookmarkStart w:id="25" w:name="_Toc30099"/>
      <w:r>
        <w:rPr>
          <w:rFonts w:hint="eastAsia" w:ascii="仿宋" w:hAnsi="仿宋" w:eastAsia="仿宋" w:cs="仿宋"/>
          <w:b/>
          <w:bCs/>
          <w:sz w:val="30"/>
          <w:szCs w:val="30"/>
          <w:lang w:val="en-US" w:eastAsia="zh-CN"/>
        </w:rPr>
        <w:t>发文量分析</w:t>
      </w:r>
      <w:bookmarkEnd w:id="24"/>
      <w:bookmarkEnd w:id="2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2024年第一季度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78</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26</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65</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85.53</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15</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2024年3月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21</w:t>
            </w:r>
          </w:p>
        </w:tc>
      </w:tr>
      <w:tr>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2"/>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78</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65</w:t>
            </w:r>
          </w:p>
        </w:tc>
      </w:tr>
    </w:tbl>
    <w:p>
      <w:pPr>
        <w:numPr>
          <w:ilvl w:val="0"/>
          <w:numId w:val="0"/>
        </w:numPr>
        <w:jc w:val="both"/>
        <w:outlineLvl w:val="1"/>
        <w:rPr>
          <w:rFonts w:hint="eastAsia" w:ascii="仿宋" w:hAnsi="仿宋" w:eastAsia="仿宋" w:cs="仿宋"/>
          <w:b/>
          <w:bCs/>
          <w:sz w:val="30"/>
          <w:szCs w:val="30"/>
          <w:lang w:val="en-US" w:eastAsia="zh-CN"/>
        </w:rPr>
      </w:pPr>
      <w:bookmarkStart w:id="26" w:name="_Toc25622"/>
    </w:p>
    <w:p>
      <w:pPr>
        <w:numPr>
          <w:ilvl w:val="0"/>
          <w:numId w:val="0"/>
        </w:numPr>
        <w:jc w:val="both"/>
        <w:outlineLvl w:val="1"/>
        <w:rPr>
          <w:rFonts w:hint="eastAsia" w:ascii="仿宋" w:hAnsi="仿宋" w:eastAsia="仿宋" w:cs="仿宋"/>
          <w:b/>
          <w:bCs/>
          <w:sz w:val="30"/>
          <w:szCs w:val="30"/>
          <w:lang w:val="en-US" w:eastAsia="zh-CN"/>
        </w:rPr>
      </w:pPr>
      <w:bookmarkStart w:id="27" w:name="_Toc2778"/>
      <w:r>
        <w:rPr>
          <w:rFonts w:hint="eastAsia" w:ascii="仿宋" w:hAnsi="仿宋" w:eastAsia="仿宋" w:cs="仿宋"/>
          <w:b/>
          <w:bCs/>
          <w:sz w:val="30"/>
          <w:szCs w:val="30"/>
          <w:lang w:val="en-US" w:eastAsia="zh-CN"/>
        </w:rPr>
        <w:t>2.论文主题分析</w:t>
      </w:r>
      <w:bookmarkEnd w:id="26"/>
      <w:bookmarkEnd w:id="27"/>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在2024年第一季度国内公开发表的78篇论文中，通过对主要主题词分析得到频次较高的主题词分布为：分离鉴定、黑水虻、板栗醋、河北省、生长发育、产教融合等，具体分布频次详见图1。</w:t>
      </w: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47590" cy="2967355"/>
            <wp:effectExtent l="4445" t="5080" r="5715" b="18415"/>
            <wp:docPr id="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jc w:val="both"/>
      </w:pPr>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在2024年第一季度国内公开发表的78篇论文中，通过对次要主题词分析得到频次较高的主题词分布为：分离菌、基因克隆、毒力基因、校企合作等，具体分布频次详见图2。</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58385" cy="3032125"/>
            <wp:effectExtent l="4445" t="5080" r="13970" b="10795"/>
            <wp:docPr id="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ind w:leftChars="0"/>
        <w:jc w:val="both"/>
        <w:outlineLvl w:val="1"/>
        <w:rPr>
          <w:rFonts w:hint="eastAsia" w:ascii="仿宋" w:hAnsi="仿宋" w:eastAsia="仿宋" w:cs="仿宋"/>
          <w:b/>
          <w:bCs/>
          <w:sz w:val="30"/>
          <w:szCs w:val="30"/>
          <w:lang w:val="en-US" w:eastAsia="zh-CN"/>
        </w:rPr>
      </w:pPr>
      <w:bookmarkStart w:id="28" w:name="_Toc20173"/>
      <w:bookmarkStart w:id="29" w:name="_Toc9501"/>
      <w:r>
        <w:rPr>
          <w:rFonts w:hint="eastAsia" w:ascii="仿宋" w:hAnsi="仿宋" w:eastAsia="仿宋" w:cs="仿宋"/>
          <w:b/>
          <w:bCs/>
          <w:sz w:val="30"/>
          <w:szCs w:val="30"/>
          <w:lang w:val="en-US" w:eastAsia="zh-CN"/>
        </w:rPr>
        <w:t>3.关键词分析</w:t>
      </w:r>
      <w:bookmarkEnd w:id="28"/>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综合分析2024年第一季度国内公开发表的78篇论文中，通过对关键词分析得到频次较高的关键词分布为：板栗、校企合作、药敏试验、职业教育等，具体分布频次详见图3。</w:t>
      </w:r>
    </w:p>
    <w:p>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30910"/>
      <w:bookmarkStart w:id="31"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spacing w:line="240" w:lineRule="auto"/>
        <w:ind w:leftChars="0"/>
        <w:jc w:val="both"/>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9"/>
      <w:bookmarkEnd w:id="3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一季度国内公开发表的78篇论文中，文献来源共计65种，其中核心期刊33篇，占总数的50.77%。文献来源主要集中在河北果树、安徽农业科学、黑龙江畜牧兽医、兰台内外、山西农经等。其中论文数在5篇以上的有2种，论文数2篇以上的有16种，发表论文最多的刊物是《河北科技师范学院学报》。详见表2。</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p>
    <w:p>
      <w:pPr>
        <w:numPr>
          <w:ilvl w:val="0"/>
          <w:numId w:val="0"/>
        </w:numPr>
        <w:spacing w:line="720" w:lineRule="auto"/>
        <w:jc w:val="both"/>
        <w:rPr>
          <w:rFonts w:hint="eastAsia" w:ascii="仿宋" w:hAnsi="仿宋" w:eastAsia="仿宋" w:cs="仿宋"/>
          <w:b/>
          <w:bCs/>
          <w:sz w:val="24"/>
          <w:szCs w:val="24"/>
          <w:lang w:val="en-US" w:eastAsia="zh-CN"/>
        </w:rPr>
      </w:pPr>
    </w:p>
    <w:p>
      <w:pPr>
        <w:numPr>
          <w:ilvl w:val="0"/>
          <w:numId w:val="0"/>
        </w:numPr>
        <w:spacing w:line="720" w:lineRule="auto"/>
        <w:jc w:val="both"/>
        <w:rPr>
          <w:rFonts w:hint="eastAsia" w:ascii="仿宋" w:hAnsi="仿宋" w:eastAsia="仿宋" w:cs="仿宋"/>
          <w:b/>
          <w:bCs/>
          <w:sz w:val="24"/>
          <w:szCs w:val="24"/>
          <w:lang w:val="en-US" w:eastAsia="zh-CN"/>
        </w:rPr>
      </w:pPr>
    </w:p>
    <w:p>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河北果树</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安徽农业科学</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0.596</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黑龙江畜牧兽医</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0.693</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兰台内外</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山西农经</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0.096</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食品工业</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0.920</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食品工业科技</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1.960</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现代畜牧兽医</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0.772</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浙江农业科学</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0.617</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中国兽医学报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中国职业技术教育</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1.707</w:t>
            </w:r>
          </w:p>
        </w:tc>
      </w:tr>
    </w:tbl>
    <w:p>
      <w:pPr>
        <w:numPr>
          <w:ilvl w:val="0"/>
          <w:numId w:val="0"/>
        </w:numPr>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highlight w:val="none"/>
          <w:lang w:val="en-US" w:eastAsia="zh-CN"/>
        </w:rPr>
      </w:pPr>
      <w:bookmarkStart w:id="33" w:name="_Toc31907"/>
      <w:bookmarkStart w:id="34" w:name="_Toc9095"/>
      <w:r>
        <w:rPr>
          <w:rFonts w:hint="eastAsia" w:ascii="仿宋" w:hAnsi="仿宋" w:eastAsia="仿宋" w:cs="仿宋"/>
          <w:b/>
          <w:bCs/>
          <w:sz w:val="30"/>
          <w:szCs w:val="30"/>
          <w:highlight w:val="none"/>
          <w:lang w:val="en-US" w:eastAsia="zh-CN"/>
        </w:rPr>
        <w:t>5.学科分析</w:t>
      </w:r>
      <w:bookmarkEnd w:id="33"/>
      <w:bookmarkEnd w:id="34"/>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综合分析2024年第一季度国内公开发表的78篇论文，发文量超过两篇的学科有20个，其中园艺、畜牧与动物医学、轻工业手工业、高等教育</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园艺</w:t>
      </w:r>
      <w:r>
        <w:rPr>
          <w:rFonts w:hint="eastAsia" w:ascii="仿宋" w:hAnsi="仿宋" w:eastAsia="仿宋" w:cs="仿宋"/>
          <w:sz w:val="28"/>
          <w:szCs w:val="28"/>
          <w:lang w:val="en-US" w:eastAsia="zh-CN"/>
        </w:rPr>
        <w:t>发文量最多，发文12篇，具体情况见表3。</w:t>
      </w:r>
    </w:p>
    <w:p>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82"/>
        <w:gridCol w:w="2784"/>
        <w:gridCol w:w="792"/>
        <w:gridCol w:w="675"/>
        <w:gridCol w:w="2834"/>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349"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69"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75"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05"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99"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01"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6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47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40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9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401"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4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405" w:type="pct"/>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99" w:type="pct"/>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文化</w:t>
            </w:r>
          </w:p>
        </w:tc>
        <w:tc>
          <w:tcPr>
            <w:tcW w:w="401" w:type="pct"/>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6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47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0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9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水产和渔业</w:t>
            </w:r>
          </w:p>
        </w:tc>
        <w:tc>
          <w:tcPr>
            <w:tcW w:w="401"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4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6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40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6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47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0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699"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档案及博物馆</w:t>
            </w:r>
          </w:p>
        </w:tc>
        <w:tc>
          <w:tcPr>
            <w:tcW w:w="401"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6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4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6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40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669"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47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0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699"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中国政治与国际政治</w:t>
            </w:r>
          </w:p>
        </w:tc>
        <w:tc>
          <w:tcPr>
            <w:tcW w:w="401"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4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6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自动化技术</w:t>
            </w:r>
          </w:p>
        </w:tc>
        <w:tc>
          <w:tcPr>
            <w:tcW w:w="40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69"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47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0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699"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互联网技术</w:t>
            </w:r>
          </w:p>
        </w:tc>
        <w:tc>
          <w:tcPr>
            <w:tcW w:w="401"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计算机软件及计算机技术</w:t>
            </w:r>
          </w:p>
        </w:tc>
        <w:tc>
          <w:tcPr>
            <w:tcW w:w="4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6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海洋学</w:t>
            </w:r>
          </w:p>
        </w:tc>
        <w:tc>
          <w:tcPr>
            <w:tcW w:w="40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bookmarkStart w:id="36" w:name="_Toc32356"/>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综合分析2024年第一季度国内公开发表的78篇论文中，发文超过两篇文献的作者有4人，详情见表4。</w:t>
      </w:r>
    </w:p>
    <w:p>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6"/>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5"/>
        <w:gridCol w:w="1853"/>
        <w:gridCol w:w="1329"/>
        <w:gridCol w:w="41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574"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4"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4"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853"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杜佳</w:t>
            </w:r>
          </w:p>
        </w:tc>
        <w:tc>
          <w:tcPr>
            <w:tcW w:w="1329"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5"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人事处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刘庆双</w:t>
            </w:r>
          </w:p>
        </w:tc>
        <w:tc>
          <w:tcPr>
            <w:tcW w:w="1329"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5"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4"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853"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王惠泽</w:t>
            </w:r>
          </w:p>
        </w:tc>
        <w:tc>
          <w:tcPr>
            <w:tcW w:w="1329"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5" w:type="dxa"/>
            <w:tcBorders>
              <w:tl2br w:val="nil"/>
              <w:tr2bl w:val="nil"/>
            </w:tcBorders>
            <w:shd w:val="clear" w:color="auto" w:fill="BDD6EE"/>
            <w:tcMar>
              <w:top w:w="15" w:type="dxa"/>
              <w:left w:w="15" w:type="dxa"/>
              <w:right w:w="15" w:type="dxa"/>
            </w:tcMar>
            <w:vAlign w:val="center"/>
          </w:tcPr>
          <w:p>
            <w:pPr>
              <w:jc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赵桂新</w:t>
            </w:r>
          </w:p>
        </w:tc>
        <w:tc>
          <w:tcPr>
            <w:tcW w:w="13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河北省预防兽医学重点实验室</w:t>
            </w:r>
          </w:p>
        </w:tc>
      </w:tr>
    </w:tbl>
    <w:p>
      <w:pPr>
        <w:numPr>
          <w:ilvl w:val="0"/>
          <w:numId w:val="0"/>
        </w:numPr>
        <w:jc w:val="both"/>
        <w:outlineLvl w:val="1"/>
        <w:rPr>
          <w:rFonts w:hint="eastAsia" w:ascii="仿宋" w:hAnsi="仿宋" w:eastAsia="仿宋" w:cs="仿宋"/>
          <w:b/>
          <w:bCs/>
          <w:sz w:val="30"/>
          <w:szCs w:val="30"/>
          <w:lang w:val="en-US" w:eastAsia="zh-CN"/>
        </w:rPr>
      </w:pPr>
      <w:bookmarkStart w:id="37" w:name="_Toc23809"/>
    </w:p>
    <w:p>
      <w:pPr>
        <w:numPr>
          <w:ilvl w:val="0"/>
          <w:numId w:val="0"/>
        </w:numPr>
        <w:jc w:val="both"/>
        <w:outlineLvl w:val="1"/>
        <w:rPr>
          <w:rFonts w:hint="default" w:ascii="仿宋" w:hAnsi="仿宋" w:eastAsia="仿宋" w:cs="仿宋"/>
          <w:b/>
          <w:bCs/>
          <w:sz w:val="30"/>
          <w:szCs w:val="30"/>
          <w:lang w:val="en-US" w:eastAsia="zh-CN"/>
        </w:rPr>
      </w:pPr>
      <w:bookmarkStart w:id="38" w:name="_Toc10967"/>
      <w:r>
        <w:rPr>
          <w:rFonts w:hint="eastAsia" w:ascii="仿宋" w:hAnsi="仿宋" w:eastAsia="仿宋" w:cs="仿宋"/>
          <w:b/>
          <w:bCs/>
          <w:sz w:val="30"/>
          <w:szCs w:val="30"/>
          <w:lang w:val="en-US" w:eastAsia="zh-CN"/>
        </w:rPr>
        <w:t>7.合作单位分析</w:t>
      </w:r>
      <w:bookmarkEnd w:id="37"/>
      <w:bookmarkEnd w:id="38"/>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一季度国内公开发表的78篇论文中，合作发文超过2篇的合作单位有7个，其中合作发文最多的是河北省(秦皇岛)甘薯产业技术研究院、河北中薯农业科技集团股份有限公司，合作发文3篇，具体分布见图4。</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600" w:lineRule="auto"/>
        <w:jc w:val="center"/>
        <w:rPr>
          <w:rFonts w:hint="eastAsia"/>
          <w:lang w:val="en-US" w:eastAsia="zh-CN"/>
        </w:rPr>
      </w:pPr>
      <w:r>
        <w:drawing>
          <wp:inline distT="0" distB="0" distL="114300" distR="114300">
            <wp:extent cx="4826000" cy="2894965"/>
            <wp:effectExtent l="4445" t="4445" r="8255" b="1524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39" w:name="_Toc27401"/>
      <w:bookmarkStart w:id="40" w:name="_Toc509"/>
    </w:p>
    <w:p>
      <w:pPr>
        <w:spacing w:line="480" w:lineRule="auto"/>
        <w:jc w:val="both"/>
        <w:rPr>
          <w:rFonts w:hint="eastAsia" w:ascii="仿宋" w:hAnsi="仿宋" w:eastAsia="仿宋" w:cs="仿宋"/>
          <w:b/>
          <w:bCs/>
          <w:sz w:val="30"/>
          <w:szCs w:val="30"/>
          <w:lang w:val="en-US" w:eastAsia="zh-CN"/>
        </w:rPr>
      </w:pPr>
    </w:p>
    <w:p>
      <w:pPr>
        <w:spacing w:line="480" w:lineRule="auto"/>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一季度国内公开发表的78篇论文中，基金资助超过三篇文章的有14个，其中资助文献最多的基金是河北省重点研发计划项目，资助发文13篇，下表列举资助篇数超过三篇的基金项目，具体分布见表4。</w:t>
      </w:r>
    </w:p>
    <w:p>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河北省现代农业产业技术体系蛋肉鸡创新团队建设项目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河北科技师范学院教学改革项目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河北省“三三三人才工程</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河北省大学生创新创业项目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河北省高等学校人文社会科学研究资助项目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河北省教育厅平台项目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14</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中央引导地方科技发展资金项目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41" w:name="_Toc2497"/>
      <w:r>
        <w:rPr>
          <w:rFonts w:hint="eastAsia" w:ascii="仿宋" w:hAnsi="仿宋" w:eastAsia="仿宋" w:cs="仿宋"/>
          <w:b/>
          <w:bCs/>
          <w:sz w:val="30"/>
          <w:szCs w:val="30"/>
          <w:lang w:val="en-US" w:eastAsia="zh-CN"/>
        </w:rPr>
        <w:t>9.指标分析</w:t>
      </w:r>
      <w:bookmarkEnd w:id="4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综合分析2024年第一季度国内公开发表论文，文献总数78篇，总参考1043篇文献，篇均参考13.37篇文献；总被引1篇文献，篇均被引0.01篇文献；总下载文献数为22371，篇均下载文献数为285.53。详情参见表5.</w:t>
      </w:r>
    </w:p>
    <w:p>
      <w:pPr>
        <w:numPr>
          <w:ilvl w:val="0"/>
          <w:numId w:val="0"/>
        </w:numPr>
        <w:spacing w:line="60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78</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1043</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22371</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13.37</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0.01</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285.53</w:t>
            </w:r>
          </w:p>
        </w:tc>
      </w:tr>
    </w:tbl>
    <w:p>
      <w:pPr>
        <w:numPr>
          <w:ilvl w:val="0"/>
          <w:numId w:val="0"/>
        </w:numPr>
        <w:jc w:val="both"/>
        <w:outlineLvl w:val="0"/>
        <w:rPr>
          <w:rFonts w:hint="eastAsia" w:ascii="黑体" w:hAnsi="黑体" w:eastAsia="黑体" w:cs="黑体"/>
          <w:b/>
          <w:bCs/>
          <w:sz w:val="32"/>
          <w:szCs w:val="32"/>
          <w:lang w:val="en-US" w:eastAsia="zh-CN"/>
        </w:rPr>
      </w:pPr>
      <w:bookmarkStart w:id="42" w:name="_Toc25917"/>
      <w:bookmarkStart w:id="43" w:name="_Toc16350"/>
    </w:p>
    <w:p>
      <w:pPr>
        <w:numPr>
          <w:ilvl w:val="0"/>
          <w:numId w:val="0"/>
        </w:numPr>
        <w:jc w:val="both"/>
        <w:outlineLvl w:val="0"/>
        <w:rPr>
          <w:rFonts w:hint="eastAsia" w:ascii="黑体" w:hAnsi="黑体" w:eastAsia="黑体" w:cs="黑体"/>
          <w:b/>
          <w:bCs/>
          <w:sz w:val="30"/>
          <w:szCs w:val="30"/>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pPr>
        <w:numPr>
          <w:ilvl w:val="0"/>
          <w:numId w:val="0"/>
        </w:numPr>
        <w:jc w:val="both"/>
        <w:outlineLvl w:val="1"/>
        <w:rPr>
          <w:rFonts w:hint="eastAsia" w:ascii="仿宋" w:hAnsi="仿宋" w:eastAsia="仿宋" w:cs="仿宋"/>
          <w:b/>
          <w:bCs/>
          <w:sz w:val="30"/>
          <w:szCs w:val="30"/>
          <w:lang w:val="en-US" w:eastAsia="zh-CN"/>
        </w:rPr>
      </w:pPr>
      <w:bookmarkStart w:id="44" w:name="_Toc5673"/>
      <w:bookmarkStart w:id="45" w:name="_Toc4689"/>
      <w:r>
        <w:rPr>
          <w:rFonts w:hint="eastAsia" w:ascii="仿宋" w:hAnsi="仿宋" w:eastAsia="仿宋" w:cs="仿宋"/>
          <w:b/>
          <w:bCs/>
          <w:sz w:val="30"/>
          <w:szCs w:val="30"/>
          <w:lang w:val="en-US" w:eastAsia="zh-CN"/>
        </w:rPr>
        <w:t>1.发文量分析</w:t>
      </w:r>
      <w:bookmarkEnd w:id="44"/>
      <w:bookmarkEnd w:id="4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2024年第一季度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37</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12.33</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20</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54.05</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其中SCIE收录论文35篇，占论文总数的94.59%；SSCI收录论文2篇。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2024年3月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bl>
    <w:p>
      <w:pPr>
        <w:numPr>
          <w:ilvl w:val="0"/>
          <w:numId w:val="0"/>
        </w:numPr>
        <w:jc w:val="both"/>
        <w:outlineLvl w:val="1"/>
        <w:rPr>
          <w:rFonts w:hint="eastAsia" w:ascii="仿宋" w:hAnsi="仿宋" w:eastAsia="仿宋" w:cs="仿宋"/>
          <w:b/>
          <w:bCs/>
          <w:sz w:val="30"/>
          <w:szCs w:val="30"/>
          <w:lang w:val="en-US" w:eastAsia="zh-CN"/>
        </w:rPr>
      </w:pPr>
      <w:bookmarkStart w:id="46" w:name="_Toc24142"/>
    </w:p>
    <w:p>
      <w:pPr>
        <w:numPr>
          <w:ilvl w:val="0"/>
          <w:numId w:val="0"/>
        </w:numPr>
        <w:jc w:val="both"/>
        <w:outlineLvl w:val="1"/>
        <w:rPr>
          <w:rFonts w:hint="eastAsia" w:ascii="仿宋" w:hAnsi="仿宋" w:eastAsia="仿宋" w:cs="仿宋"/>
          <w:b/>
          <w:bCs/>
          <w:sz w:val="30"/>
          <w:szCs w:val="30"/>
          <w:lang w:val="en-US" w:eastAsia="zh-CN"/>
        </w:rPr>
      </w:pPr>
      <w:bookmarkStart w:id="47" w:name="_Toc23317"/>
      <w:r>
        <w:rPr>
          <w:rFonts w:hint="eastAsia" w:ascii="仿宋" w:hAnsi="仿宋" w:eastAsia="仿宋" w:cs="仿宋"/>
          <w:b/>
          <w:bCs/>
          <w:sz w:val="30"/>
          <w:szCs w:val="30"/>
          <w:lang w:val="en-US" w:eastAsia="zh-CN"/>
        </w:rPr>
        <w:t>2.学科分析</w:t>
      </w:r>
      <w:bookmarkEnd w:id="46"/>
      <w:bookmarkEnd w:id="47"/>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Calibri" w:hAnsi="Calibri" w:eastAsia="宋体" w:cs="Calibri"/>
          <w:i w:val="0"/>
          <w:color w:val="000000"/>
          <w:kern w:val="0"/>
          <w:sz w:val="24"/>
          <w:szCs w:val="24"/>
          <w:u w:val="none"/>
          <w:lang w:val="en-US" w:eastAsia="zh-CN" w:bidi="ar"/>
        </w:rPr>
        <w:t>Genetics &amp; Heredity、Plant Sciences</w:t>
      </w:r>
      <w:r>
        <w:rPr>
          <w:rFonts w:hint="eastAsia" w:ascii="仿宋" w:hAnsi="仿宋" w:eastAsia="仿宋" w:cs="仿宋"/>
          <w:sz w:val="28"/>
          <w:szCs w:val="28"/>
          <w:lang w:val="en-US" w:eastAsia="zh-CN"/>
        </w:rPr>
        <w:t>等学科发文较多。</w:t>
      </w:r>
    </w:p>
    <w:p>
      <w:pPr>
        <w:spacing w:line="60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Chemical</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bookmarkStart w:id="48" w:name="_Toc14746"/>
      <w:bookmarkStart w:id="49" w:name="_Toc24535"/>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 xml:space="preserve"> Engineering、Chemistry、Genetics &amp; Heredity、Materials Science、Plant Sciences</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 xml:space="preserve"> Engineering</w:t>
      </w:r>
      <w:r>
        <w:rPr>
          <w:rFonts w:hint="eastAsia" w:ascii="仿宋" w:hAnsi="仿宋" w:eastAsia="仿宋" w:cs="仿宋"/>
          <w:sz w:val="28"/>
          <w:szCs w:val="28"/>
          <w:lang w:val="en-US" w:eastAsia="zh-CN"/>
        </w:rPr>
        <w:t>为最多研究方向，发文7篇。</w:t>
      </w:r>
    </w:p>
    <w:p>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0" w:name="_Toc5680"/>
      <w:bookmarkStart w:id="51" w:name="_Toc32538"/>
      <w:r>
        <w:rPr>
          <w:rFonts w:hint="eastAsia" w:ascii="仿宋" w:hAnsi="仿宋" w:eastAsia="仿宋" w:cs="仿宋"/>
          <w:b/>
          <w:bCs/>
          <w:sz w:val="30"/>
          <w:szCs w:val="30"/>
          <w:lang w:val="en-US" w:eastAsia="zh-CN"/>
        </w:rPr>
        <w:t>4.文献来源分析</w:t>
      </w:r>
      <w:bookmarkEnd w:id="50"/>
      <w:bookmarkEnd w:id="5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文献来源共计34种，发文超过两篇的期刊共2种（详见表9）。</w:t>
      </w:r>
    </w:p>
    <w:p>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654"/>
        <w:gridCol w:w="3384"/>
        <w:gridCol w:w="1275"/>
        <w:gridCol w:w="1786"/>
        <w:gridCol w:w="1234"/>
      </w:tblGrid>
      <w:tr>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BIORESOURCES</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1.5</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2" w:name="_Toc10459"/>
            <w:bookmarkStart w:id="53" w:name="_Toc10170"/>
            <w:r>
              <w:rPr>
                <w:rFonts w:hint="eastAsia" w:ascii="仿宋" w:hAnsi="仿宋" w:eastAsia="仿宋" w:cs="仿宋"/>
                <w:i w:val="0"/>
                <w:color w:val="000000"/>
                <w:kern w:val="0"/>
                <w:sz w:val="22"/>
                <w:szCs w:val="22"/>
                <w:u w:val="none"/>
                <w:lang w:val="en-US" w:eastAsia="zh-CN" w:bidi="ar"/>
              </w:rPr>
              <w:t>2</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GENETICS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3.7</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INTERNATIONAL JOURNAL OF BIOLOGICAL MACROMOLECULES</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8.2</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bl>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bookmarkStart w:id="62" w:name="_GoBack"/>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我校第一发文作者发文两篇以上的有8人，下表列举发文量超过2篇的作者，详见表10。</w:t>
      </w:r>
    </w:p>
    <w:p>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Cao, Fei</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Ding, Zhuo</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Yun</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乡村振兴研究中心</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Liang, Liman</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Suwen</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Min, Wenjia</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海洋科学研究中心</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Yating</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Yuedong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55" w:name="_Toc255"/>
      <w:bookmarkStart w:id="56" w:name="_Toc4595"/>
      <w:bookmarkStart w:id="57" w:name="_Toc3593"/>
      <w:r>
        <w:rPr>
          <w:rFonts w:hint="eastAsia" w:ascii="仿宋" w:hAnsi="仿宋" w:eastAsia="仿宋" w:cs="仿宋"/>
          <w:b/>
          <w:bCs/>
          <w:sz w:val="30"/>
          <w:szCs w:val="30"/>
          <w:lang w:val="en-US" w:eastAsia="zh-CN"/>
        </w:rPr>
        <w:t>6.合作单位分析</w:t>
      </w:r>
      <w:bookmarkEnd w:id="55"/>
      <w:bookmarkEnd w:id="56"/>
      <w:bookmarkEnd w:id="57"/>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，合作发文超过2篇的合作单位有16个，合作发文超过3篇的合作单位有9个，其中合作发文最多的是</w:t>
      </w:r>
      <w:r>
        <w:rPr>
          <w:rFonts w:hint="eastAsia" w:ascii="Calibri" w:hAnsi="Calibri" w:eastAsia="宋体" w:cs="Calibri"/>
          <w:i w:val="0"/>
          <w:color w:val="000000"/>
          <w:kern w:val="0"/>
          <w:sz w:val="24"/>
          <w:szCs w:val="24"/>
          <w:u w:val="none"/>
          <w:lang w:val="en-US" w:eastAsia="zh-CN" w:bidi="ar"/>
        </w:rPr>
        <w:t>Chinese Academy of Sciences</w:t>
      </w:r>
      <w:r>
        <w:rPr>
          <w:rFonts w:hint="eastAsia" w:ascii="仿宋" w:hAnsi="仿宋" w:eastAsia="仿宋" w:cs="仿宋"/>
          <w:b w:val="0"/>
          <w:bCs w:val="0"/>
          <w:sz w:val="28"/>
          <w:szCs w:val="28"/>
          <w:lang w:val="en-US" w:eastAsia="zh-CN"/>
        </w:rPr>
        <w:t>和</w:t>
      </w:r>
      <w:r>
        <w:rPr>
          <w:rFonts w:hint="eastAsia" w:ascii="Calibri" w:hAnsi="Calibri" w:eastAsia="宋体" w:cs="Calibri"/>
          <w:i w:val="0"/>
          <w:color w:val="000000"/>
          <w:kern w:val="0"/>
          <w:sz w:val="24"/>
          <w:szCs w:val="24"/>
          <w:u w:val="none"/>
          <w:lang w:val="en-US" w:eastAsia="zh-CN" w:bidi="ar"/>
        </w:rPr>
        <w:t>Tianjin University Science &amp; Technology，</w:t>
      </w:r>
      <w:r>
        <w:rPr>
          <w:rFonts w:hint="eastAsia" w:ascii="仿宋" w:hAnsi="仿宋" w:eastAsia="仿宋" w:cs="仿宋"/>
          <w:b w:val="0"/>
          <w:bCs w:val="0"/>
          <w:sz w:val="28"/>
          <w:szCs w:val="28"/>
          <w:lang w:val="en-US" w:eastAsia="zh-CN"/>
        </w:rPr>
        <w:t>合作发文8篇，具体分布见图7。</w:t>
      </w:r>
    </w:p>
    <w:p>
      <w:pPr>
        <w:spacing w:line="600" w:lineRule="auto"/>
        <w:jc w:val="center"/>
        <w:rPr>
          <w:rFonts w:hint="eastAsia" w:ascii="仿宋" w:hAnsi="仿宋" w:eastAsia="仿宋" w:cs="仿宋"/>
          <w:b/>
          <w:bCs/>
          <w:sz w:val="24"/>
          <w:szCs w:val="24"/>
          <w:lang w:val="en-US" w:eastAsia="zh-CN"/>
        </w:rPr>
      </w:pPr>
    </w:p>
    <w:p>
      <w:pPr>
        <w:spacing w:line="600" w:lineRule="auto"/>
        <w:jc w:val="center"/>
        <w:rPr>
          <w:rFonts w:hint="eastAsia" w:ascii="仿宋" w:hAnsi="仿宋" w:eastAsia="仿宋" w:cs="仿宋"/>
          <w:b/>
          <w:bCs/>
          <w:sz w:val="24"/>
          <w:szCs w:val="24"/>
          <w:lang w:val="en-US" w:eastAsia="zh-CN"/>
        </w:rPr>
      </w:pPr>
    </w:p>
    <w:p>
      <w:pPr>
        <w:spacing w:line="600" w:lineRule="auto"/>
        <w:jc w:val="both"/>
        <w:rPr>
          <w:rFonts w:hint="eastAsia" w:ascii="仿宋" w:hAnsi="仿宋" w:eastAsia="仿宋" w:cs="仿宋"/>
          <w:b/>
          <w:bCs/>
          <w:sz w:val="24"/>
          <w:szCs w:val="24"/>
          <w:lang w:val="en-US" w:eastAsia="zh-CN"/>
        </w:rPr>
      </w:pPr>
    </w:p>
    <w:p>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pPr>
        <w:spacing w:line="600" w:lineRule="auto"/>
        <w:jc w:val="center"/>
        <w:rPr>
          <w:rFonts w:hint="eastAsia" w:ascii="仿宋" w:hAnsi="仿宋" w:eastAsia="仿宋" w:cs="仿宋"/>
          <w:b/>
          <w:bCs/>
          <w:sz w:val="30"/>
          <w:szCs w:val="30"/>
          <w:lang w:val="en-US" w:eastAsia="zh-CN"/>
        </w:rPr>
      </w:pPr>
      <w:r>
        <w:drawing>
          <wp:inline distT="0" distB="0" distL="114300" distR="114300">
            <wp:extent cx="4826000" cy="2813050"/>
            <wp:effectExtent l="4445" t="4445" r="8255" b="2095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58" w:name="_Toc17997"/>
      <w:bookmarkStart w:id="59" w:name="_Toc6209"/>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综合分析2024年第一季度年国外公开发表的37篇论文中，基金资助超过2篇文章的有10个，其中资助文献最多的基金是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，具体分布见表11。</w:t>
      </w:r>
    </w:p>
    <w:p>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 &amp; T Program of Hebei</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Foundation of Hebei Normal University of Science and Technology</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Beijing Municipal Commission of Education -Municipal Natural Science Joint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Beijing Municipal Natural Science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Agriculture Research System</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Program of Hebei Province</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R&amp;D Program of China</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Tianjin Municipal Science and Technology Commission</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60" w:name="_Toc27050"/>
      <w:bookmarkStart w:id="61" w:name="_Toc26632"/>
      <w:r>
        <w:rPr>
          <w:rFonts w:hint="eastAsia" w:ascii="仿宋" w:hAnsi="仿宋" w:eastAsia="仿宋" w:cs="仿宋"/>
          <w:b/>
          <w:bCs/>
          <w:sz w:val="30"/>
          <w:szCs w:val="30"/>
          <w:lang w:val="en-US" w:eastAsia="zh-CN"/>
        </w:rPr>
        <w:t>8.被引分析</w:t>
      </w:r>
      <w:bookmarkEnd w:id="60"/>
      <w:bookmarkEnd w:id="61"/>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综合分析2024年第一季度国外公开发表的37篇论文中，有2篇文章被引用，具体分布见表12。</w:t>
      </w:r>
    </w:p>
    <w:p>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2024年第一季度国外发文被引频次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Suppressing Exciton-Vibration Coupling to Prolong Exciton Lifetime of Nonfullerene Acceptors Enables High-Efficiency Organic Solar Cells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JAN</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Zhu, Yufan; He, Dan; Wang, Chong; Han, Xiao; Liu, Zesheng; Wang, Ke; Zhang, Jianqi; Shen, Xingxing; Li, Jie; Lin, Yuze; Wang, Chunru; He, Yuehui; Zhao, Fuwen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Oxygen self-supplied nanoparticle for enhanced chemiexcited photodynamic therapy</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JAN</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Liang, Liman; Wang, Yueying; Zhang, Chensa; Chang, Yulu; Wang, Yuzi; Xue, Jinyan; Wang, Lu; Zhang, Fan; Niu, Kui</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w:t>
            </w:r>
          </w:p>
        </w:tc>
      </w:tr>
      <w:bookmarkEnd w:id="54"/>
    </w:tbl>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E261D5"/>
    <w:rsid w:val="019C24C6"/>
    <w:rsid w:val="01D722FB"/>
    <w:rsid w:val="01F33470"/>
    <w:rsid w:val="021C5F9F"/>
    <w:rsid w:val="02CF1A1C"/>
    <w:rsid w:val="02F868C8"/>
    <w:rsid w:val="03601D9E"/>
    <w:rsid w:val="038917C2"/>
    <w:rsid w:val="038A7F2F"/>
    <w:rsid w:val="03936383"/>
    <w:rsid w:val="0495645F"/>
    <w:rsid w:val="04C12812"/>
    <w:rsid w:val="05B818B6"/>
    <w:rsid w:val="06377034"/>
    <w:rsid w:val="065D67A1"/>
    <w:rsid w:val="074C2D13"/>
    <w:rsid w:val="08065CD1"/>
    <w:rsid w:val="08093DB1"/>
    <w:rsid w:val="08636427"/>
    <w:rsid w:val="087C5B35"/>
    <w:rsid w:val="08AE1213"/>
    <w:rsid w:val="09496D37"/>
    <w:rsid w:val="0B457272"/>
    <w:rsid w:val="0BF1297F"/>
    <w:rsid w:val="0CCB61DB"/>
    <w:rsid w:val="0CFF4E94"/>
    <w:rsid w:val="0D4B434C"/>
    <w:rsid w:val="0E68406A"/>
    <w:rsid w:val="0EE91E83"/>
    <w:rsid w:val="0FE35C25"/>
    <w:rsid w:val="10634615"/>
    <w:rsid w:val="10EE5A72"/>
    <w:rsid w:val="11276C93"/>
    <w:rsid w:val="11EF78E3"/>
    <w:rsid w:val="1227130F"/>
    <w:rsid w:val="13105886"/>
    <w:rsid w:val="13136B57"/>
    <w:rsid w:val="139416D0"/>
    <w:rsid w:val="13987AF7"/>
    <w:rsid w:val="13C71583"/>
    <w:rsid w:val="13F412D5"/>
    <w:rsid w:val="144964D4"/>
    <w:rsid w:val="1499573C"/>
    <w:rsid w:val="157B3785"/>
    <w:rsid w:val="157F3E5B"/>
    <w:rsid w:val="158A52FB"/>
    <w:rsid w:val="17874709"/>
    <w:rsid w:val="18294A9A"/>
    <w:rsid w:val="1857555B"/>
    <w:rsid w:val="18741D50"/>
    <w:rsid w:val="189561A4"/>
    <w:rsid w:val="190B50EC"/>
    <w:rsid w:val="19CE6269"/>
    <w:rsid w:val="1A07173E"/>
    <w:rsid w:val="1A372FAB"/>
    <w:rsid w:val="1A5873E9"/>
    <w:rsid w:val="1AED378A"/>
    <w:rsid w:val="1C0520C8"/>
    <w:rsid w:val="1C073948"/>
    <w:rsid w:val="1C65043A"/>
    <w:rsid w:val="1CBC59B1"/>
    <w:rsid w:val="1CE92B97"/>
    <w:rsid w:val="1D9751D2"/>
    <w:rsid w:val="1DAB7B4F"/>
    <w:rsid w:val="1DC96DC2"/>
    <w:rsid w:val="1DF43DCE"/>
    <w:rsid w:val="1ED8720B"/>
    <w:rsid w:val="1F861120"/>
    <w:rsid w:val="1FB453DF"/>
    <w:rsid w:val="20C07FF2"/>
    <w:rsid w:val="211309FB"/>
    <w:rsid w:val="212E3725"/>
    <w:rsid w:val="21435025"/>
    <w:rsid w:val="21536F14"/>
    <w:rsid w:val="22285904"/>
    <w:rsid w:val="226635E8"/>
    <w:rsid w:val="233E4387"/>
    <w:rsid w:val="23491031"/>
    <w:rsid w:val="23A743D7"/>
    <w:rsid w:val="23BF10E1"/>
    <w:rsid w:val="23D63EB9"/>
    <w:rsid w:val="25675458"/>
    <w:rsid w:val="26492636"/>
    <w:rsid w:val="26540FE6"/>
    <w:rsid w:val="266E7171"/>
    <w:rsid w:val="26A93E40"/>
    <w:rsid w:val="26E94C4B"/>
    <w:rsid w:val="27A64145"/>
    <w:rsid w:val="28256F59"/>
    <w:rsid w:val="28B05E51"/>
    <w:rsid w:val="28D97992"/>
    <w:rsid w:val="28FA3930"/>
    <w:rsid w:val="298E7BCC"/>
    <w:rsid w:val="299D4AAE"/>
    <w:rsid w:val="2A0868FC"/>
    <w:rsid w:val="2A1E1EF9"/>
    <w:rsid w:val="2A7D2E0F"/>
    <w:rsid w:val="2C2D5988"/>
    <w:rsid w:val="2C3D740F"/>
    <w:rsid w:val="2DFC690D"/>
    <w:rsid w:val="2E422F06"/>
    <w:rsid w:val="2E8D26F5"/>
    <w:rsid w:val="2FAF6436"/>
    <w:rsid w:val="30030473"/>
    <w:rsid w:val="300D612B"/>
    <w:rsid w:val="30132E04"/>
    <w:rsid w:val="302A3C52"/>
    <w:rsid w:val="307A33FC"/>
    <w:rsid w:val="31EF3DCF"/>
    <w:rsid w:val="32C57CE3"/>
    <w:rsid w:val="32DC7DB9"/>
    <w:rsid w:val="32F72DCA"/>
    <w:rsid w:val="33186053"/>
    <w:rsid w:val="33626177"/>
    <w:rsid w:val="337B2B08"/>
    <w:rsid w:val="33B210B7"/>
    <w:rsid w:val="33D171F4"/>
    <w:rsid w:val="33EC74B8"/>
    <w:rsid w:val="34170ECB"/>
    <w:rsid w:val="341B3FDD"/>
    <w:rsid w:val="34BC0E5B"/>
    <w:rsid w:val="35294481"/>
    <w:rsid w:val="365A3823"/>
    <w:rsid w:val="36637808"/>
    <w:rsid w:val="36D33F26"/>
    <w:rsid w:val="37215CE9"/>
    <w:rsid w:val="38615AFD"/>
    <w:rsid w:val="38914172"/>
    <w:rsid w:val="38D14B6E"/>
    <w:rsid w:val="38E64462"/>
    <w:rsid w:val="3AA8648A"/>
    <w:rsid w:val="3B026781"/>
    <w:rsid w:val="3B312338"/>
    <w:rsid w:val="3B5963D6"/>
    <w:rsid w:val="3BE64ED1"/>
    <w:rsid w:val="3C0F5F44"/>
    <w:rsid w:val="3C8E6E90"/>
    <w:rsid w:val="3C8E78EF"/>
    <w:rsid w:val="3D0F48FB"/>
    <w:rsid w:val="3D203C2F"/>
    <w:rsid w:val="3DDC6D23"/>
    <w:rsid w:val="3E2264D4"/>
    <w:rsid w:val="3E520FD9"/>
    <w:rsid w:val="3EA5527B"/>
    <w:rsid w:val="401523DC"/>
    <w:rsid w:val="40275AB8"/>
    <w:rsid w:val="40D235B1"/>
    <w:rsid w:val="421011B4"/>
    <w:rsid w:val="42312EBC"/>
    <w:rsid w:val="426F2679"/>
    <w:rsid w:val="42CB3316"/>
    <w:rsid w:val="43273B81"/>
    <w:rsid w:val="43A84D67"/>
    <w:rsid w:val="440A4419"/>
    <w:rsid w:val="44230DB6"/>
    <w:rsid w:val="44386856"/>
    <w:rsid w:val="44BB4992"/>
    <w:rsid w:val="44F84B54"/>
    <w:rsid w:val="45835E86"/>
    <w:rsid w:val="45E32462"/>
    <w:rsid w:val="46325B29"/>
    <w:rsid w:val="471E6504"/>
    <w:rsid w:val="48032514"/>
    <w:rsid w:val="48234689"/>
    <w:rsid w:val="497A134E"/>
    <w:rsid w:val="4ABA036C"/>
    <w:rsid w:val="4B030956"/>
    <w:rsid w:val="4B545E24"/>
    <w:rsid w:val="4B5B4BC2"/>
    <w:rsid w:val="4CA42517"/>
    <w:rsid w:val="4D13498E"/>
    <w:rsid w:val="4DE77106"/>
    <w:rsid w:val="4EC0692D"/>
    <w:rsid w:val="4F4D5D7E"/>
    <w:rsid w:val="4FA01782"/>
    <w:rsid w:val="4FF16129"/>
    <w:rsid w:val="5022272A"/>
    <w:rsid w:val="51851D7F"/>
    <w:rsid w:val="51890380"/>
    <w:rsid w:val="526A1BE4"/>
    <w:rsid w:val="52C262DB"/>
    <w:rsid w:val="532C6A4B"/>
    <w:rsid w:val="53766CBE"/>
    <w:rsid w:val="53966D85"/>
    <w:rsid w:val="547C45F3"/>
    <w:rsid w:val="54AC57C2"/>
    <w:rsid w:val="55D213BB"/>
    <w:rsid w:val="55FA7666"/>
    <w:rsid w:val="56492C8F"/>
    <w:rsid w:val="58D73E50"/>
    <w:rsid w:val="58FB4CED"/>
    <w:rsid w:val="59E20BEE"/>
    <w:rsid w:val="5AB81CD6"/>
    <w:rsid w:val="5AD016BC"/>
    <w:rsid w:val="5AF17641"/>
    <w:rsid w:val="5AF22D78"/>
    <w:rsid w:val="5B112EF4"/>
    <w:rsid w:val="5B38277B"/>
    <w:rsid w:val="5B7E3493"/>
    <w:rsid w:val="5B8861B6"/>
    <w:rsid w:val="5C241A1E"/>
    <w:rsid w:val="5D174C2A"/>
    <w:rsid w:val="5D7F24A9"/>
    <w:rsid w:val="5E49292E"/>
    <w:rsid w:val="606D5027"/>
    <w:rsid w:val="61593803"/>
    <w:rsid w:val="61BA6334"/>
    <w:rsid w:val="62416172"/>
    <w:rsid w:val="62B83A1A"/>
    <w:rsid w:val="62C16D24"/>
    <w:rsid w:val="62DA2113"/>
    <w:rsid w:val="632E5AE9"/>
    <w:rsid w:val="634E3528"/>
    <w:rsid w:val="63580562"/>
    <w:rsid w:val="63B831A3"/>
    <w:rsid w:val="66BA47AA"/>
    <w:rsid w:val="67202E55"/>
    <w:rsid w:val="67551F07"/>
    <w:rsid w:val="67FF3E86"/>
    <w:rsid w:val="680053D6"/>
    <w:rsid w:val="691213E4"/>
    <w:rsid w:val="69651CF1"/>
    <w:rsid w:val="69B26C1A"/>
    <w:rsid w:val="6A0D1870"/>
    <w:rsid w:val="6A4C24A5"/>
    <w:rsid w:val="6A8E5865"/>
    <w:rsid w:val="6AA42D73"/>
    <w:rsid w:val="6B7E26DF"/>
    <w:rsid w:val="6B965992"/>
    <w:rsid w:val="6C9932C6"/>
    <w:rsid w:val="6CC469C3"/>
    <w:rsid w:val="6CFB1689"/>
    <w:rsid w:val="6D273A8A"/>
    <w:rsid w:val="6E3F6C09"/>
    <w:rsid w:val="6E8647B0"/>
    <w:rsid w:val="6EE64E2C"/>
    <w:rsid w:val="6EF72976"/>
    <w:rsid w:val="6FBF5509"/>
    <w:rsid w:val="703C172C"/>
    <w:rsid w:val="713131B1"/>
    <w:rsid w:val="71487149"/>
    <w:rsid w:val="71A354E0"/>
    <w:rsid w:val="71BB3A25"/>
    <w:rsid w:val="71DD4ABF"/>
    <w:rsid w:val="72C83180"/>
    <w:rsid w:val="7353128E"/>
    <w:rsid w:val="736A01FF"/>
    <w:rsid w:val="73E159A2"/>
    <w:rsid w:val="748557B7"/>
    <w:rsid w:val="74FC42B5"/>
    <w:rsid w:val="758E056E"/>
    <w:rsid w:val="761D4EAE"/>
    <w:rsid w:val="76CE13C5"/>
    <w:rsid w:val="770F010E"/>
    <w:rsid w:val="771E26AC"/>
    <w:rsid w:val="773D0EE8"/>
    <w:rsid w:val="77EC7032"/>
    <w:rsid w:val="7861069E"/>
    <w:rsid w:val="78ED0A33"/>
    <w:rsid w:val="7948293C"/>
    <w:rsid w:val="7A577052"/>
    <w:rsid w:val="7AF97A35"/>
    <w:rsid w:val="7B321665"/>
    <w:rsid w:val="7B4B6285"/>
    <w:rsid w:val="7BE11E31"/>
    <w:rsid w:val="7BE15DB6"/>
    <w:rsid w:val="7C6932BF"/>
    <w:rsid w:val="7CB3424D"/>
    <w:rsid w:val="7D2B2251"/>
    <w:rsid w:val="7D8A0E59"/>
    <w:rsid w:val="7DDF3BA1"/>
    <w:rsid w:val="7DFC2D81"/>
    <w:rsid w:val="7E264696"/>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character" w:customStyle="1" w:styleId="8">
    <w:name w:val="font01"/>
    <w:basedOn w:val="7"/>
    <w:autoRedefine/>
    <w:qFormat/>
    <w:uiPriority w:val="0"/>
    <w:rPr>
      <w:rFonts w:ascii="Arial" w:hAnsi="Arial" w:cs="Arial"/>
      <w:b/>
      <w:color w:val="808080"/>
      <w:sz w:val="21"/>
      <w:szCs w:val="21"/>
      <w:u w:val="none"/>
    </w:rPr>
  </w:style>
  <w:style w:type="paragraph" w:customStyle="1" w:styleId="9">
    <w:name w:val="WPSOffice手动目录 1"/>
    <w:autoRedefine/>
    <w:qFormat/>
    <w:uiPriority w:val="0"/>
    <w:pPr>
      <w:ind w:leftChars="0"/>
    </w:pPr>
    <w:rPr>
      <w:rFonts w:ascii="Times New Roman" w:hAnsi="Times New Roman" w:eastAsia="宋体" w:cs="Times New Roman"/>
      <w:sz w:val="20"/>
      <w:szCs w:val="20"/>
    </w:rPr>
  </w:style>
  <w:style w:type="paragraph" w:customStyle="1" w:styleId="10">
    <w:name w:val="WPSOffice手动目录 2"/>
    <w:autoRedefine/>
    <w:qFormat/>
    <w:uiPriority w:val="0"/>
    <w:pPr>
      <w:ind w:leftChars="200"/>
    </w:pPr>
    <w:rPr>
      <w:rFonts w:ascii="Times New Roman" w:hAnsi="Times New Roman" w:eastAsia="宋体" w:cs="Times New Roman"/>
      <w:sz w:val="20"/>
      <w:szCs w:val="20"/>
    </w:rPr>
  </w:style>
  <w:style w:type="paragraph" w:styleId="11">
    <w:name w:val="No Spacing"/>
    <w:autoRedefine/>
    <w:unhideWhenUsed/>
    <w:qFormat/>
    <w:uiPriority w:val="1"/>
    <w:rPr>
      <w:rFonts w:hint="eastAsia" w:ascii="等线" w:hAnsi="等线" w:eastAsia="等线" w:cs="Times New Roman"/>
      <w:sz w:val="22"/>
      <w:szCs w:val="24"/>
      <w:lang w:val="en-US" w:eastAsia="zh-CN"/>
    </w:rPr>
  </w:style>
  <w:style w:type="character" w:customStyle="1" w:styleId="12">
    <w:name w:val="font11"/>
    <w:basedOn w:val="7"/>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4&#31532;&#19968;&#23395;&#24230;&#21457;&#25991;&#20998;&#26512;&#25253;&#21578;\CNKI-2024&#31532;&#19968;&#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4&#31532;&#19968;&#23395;&#24230;&#21457;&#25991;&#20998;&#26512;&#25253;&#21578;\CNKI-2024&#31532;&#19968;&#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4&#31532;&#19968;&#23395;&#24230;&#21457;&#25991;&#20998;&#26512;&#25253;&#21578;\CNKI-2024&#31532;&#19968;&#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4&#31532;&#19968;&#23395;&#24230;&#21457;&#25991;&#20998;&#26512;&#25253;&#21578;\CNKI-2024&#31532;&#19968;&#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4&#31532;&#19968;&#23395;&#24230;&#21457;&#25991;&#20998;&#26512;&#25253;&#21578;\WOS-2024&#31532;&#19968;&#23395;&#2423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'[CNKI-2024第一季度发文数据.xlsx]2主题'!$E$2:$E$21</c:f>
              <c:strCache>
                <c:ptCount val="20"/>
                <c:pt idx="0">
                  <c:v>分离鉴定</c:v>
                </c:pt>
                <c:pt idx="1">
                  <c:v>黑水虻</c:v>
                </c:pt>
                <c:pt idx="2">
                  <c:v>板栗醋</c:v>
                </c:pt>
                <c:pt idx="3">
                  <c:v>河北省</c:v>
                </c:pt>
                <c:pt idx="4">
                  <c:v>生长发育</c:v>
                </c:pt>
                <c:pt idx="5">
                  <c:v>产教融合</c:v>
                </c:pt>
                <c:pt idx="6">
                  <c:v>职业教育</c:v>
                </c:pt>
                <c:pt idx="7">
                  <c:v>高质量发展</c:v>
                </c:pt>
                <c:pt idx="8">
                  <c:v>课程思政</c:v>
                </c:pt>
                <c:pt idx="9">
                  <c:v>甘薯渣</c:v>
                </c:pt>
                <c:pt idx="10">
                  <c:v>药敏试验</c:v>
                </c:pt>
                <c:pt idx="11">
                  <c:v>山鸡源致病性大肠杆菌</c:v>
                </c:pt>
                <c:pt idx="12">
                  <c:v>Sg1655</c:v>
                </c:pt>
                <c:pt idx="13">
                  <c:v>志贺菌</c:v>
                </c:pt>
                <c:pt idx="14">
                  <c:v>校企合作</c:v>
                </c:pt>
                <c:pt idx="15">
                  <c:v>河北软件职业教育学院</c:v>
                </c:pt>
                <c:pt idx="16">
                  <c:v>全媒体</c:v>
                </c:pt>
                <c:pt idx="17">
                  <c:v>犊牛腹泻</c:v>
                </c:pt>
                <c:pt idx="18">
                  <c:v>投入产出</c:v>
                </c:pt>
                <c:pt idx="19">
                  <c:v>高职院校</c:v>
                </c:pt>
              </c:strCache>
            </c:strRef>
          </c:cat>
          <c:val>
            <c:numRef>
              <c:f>'[CNKI-2024第一季度发文数据.xlsx]2主题'!$F$2:$F$21</c:f>
              <c:numCache>
                <c:formatCode>General</c:formatCode>
                <c:ptCount val="20"/>
                <c:pt idx="0">
                  <c:v>4</c:v>
                </c:pt>
                <c:pt idx="1">
                  <c:v>2</c:v>
                </c:pt>
                <c:pt idx="2">
                  <c:v>2</c:v>
                </c:pt>
                <c:pt idx="3">
                  <c:v>2</c:v>
                </c:pt>
                <c:pt idx="4">
                  <c:v>2</c:v>
                </c:pt>
                <c:pt idx="5">
                  <c:v>2</c:v>
                </c:pt>
                <c:pt idx="6">
                  <c:v>2</c:v>
                </c:pt>
                <c:pt idx="7">
                  <c:v>2</c:v>
                </c:pt>
                <c:pt idx="8">
                  <c:v>2</c:v>
                </c:pt>
                <c:pt idx="9">
                  <c:v>2</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'[CNKI-2024第一季度发文数据.xlsx]2主题'!$N$2:$N$21</c:f>
              <c:strCache>
                <c:ptCount val="20"/>
                <c:pt idx="0">
                  <c:v>分离菌</c:v>
                </c:pt>
                <c:pt idx="1">
                  <c:v>基因克隆</c:v>
                </c:pt>
                <c:pt idx="2">
                  <c:v>毒力基因</c:v>
                </c:pt>
                <c:pt idx="3">
                  <c:v>校企合作</c:v>
                </c:pt>
                <c:pt idx="4">
                  <c:v>耐药性</c:v>
                </c:pt>
                <c:pt idx="5">
                  <c:v>主体地位</c:v>
                </c:pt>
                <c:pt idx="6">
                  <c:v>盐碱地</c:v>
                </c:pt>
                <c:pt idx="7">
                  <c:v>16srRNA</c:v>
                </c:pt>
                <c:pt idx="8">
                  <c:v>高校研究生</c:v>
                </c:pt>
                <c:pt idx="9">
                  <c:v>PDCoV CTD</c:v>
                </c:pt>
                <c:pt idx="10">
                  <c:v>生长因子</c:v>
                </c:pt>
                <c:pt idx="11">
                  <c:v>养殖技术</c:v>
                </c:pt>
                <c:pt idx="12">
                  <c:v>醇溶蛋白</c:v>
                </c:pt>
                <c:pt idx="13">
                  <c:v>隐式差分法</c:v>
                </c:pt>
                <c:pt idx="14">
                  <c:v>项目式教学</c:v>
                </c:pt>
                <c:pt idx="15">
                  <c:v>基因缺失株</c:v>
                </c:pt>
                <c:pt idx="16">
                  <c:v>培养目标</c:v>
                </c:pt>
                <c:pt idx="17">
                  <c:v>总多酚含量</c:v>
                </c:pt>
                <c:pt idx="18">
                  <c:v>优化对策</c:v>
                </c:pt>
                <c:pt idx="19">
                  <c:v>生姜栽培</c:v>
                </c:pt>
              </c:strCache>
            </c:strRef>
          </c:cat>
          <c:val>
            <c:numRef>
              <c:f>'[CNKI-2024第一季度发文数据.xlsx]2主题'!$O$2:$O$21</c:f>
              <c:numCache>
                <c:formatCode>General</c:formatCode>
                <c:ptCount val="20"/>
                <c:pt idx="0">
                  <c:v>2</c:v>
                </c:pt>
                <c:pt idx="1">
                  <c:v>2</c:v>
                </c:pt>
                <c:pt idx="2">
                  <c:v>2</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'[CNKI-2024第一季度发文数据.xlsx]3关键词'!$E$3:$E$14</c:f>
              <c:strCache>
                <c:ptCount val="12"/>
                <c:pt idx="0">
                  <c:v>板栗</c:v>
                </c:pt>
                <c:pt idx="1">
                  <c:v>校企合作</c:v>
                </c:pt>
                <c:pt idx="2">
                  <c:v>药敏试验</c:v>
                </c:pt>
                <c:pt idx="3">
                  <c:v>职业教育</c:v>
                </c:pt>
                <c:pt idx="4">
                  <c:v>板栗醋</c:v>
                </c:pt>
                <c:pt idx="5">
                  <c:v>产量</c:v>
                </c:pt>
                <c:pt idx="6">
                  <c:v>毒力基因</c:v>
                </c:pt>
                <c:pt idx="7">
                  <c:v>多酚</c:v>
                </c:pt>
                <c:pt idx="8">
                  <c:v>高质量发展</c:v>
                </c:pt>
                <c:pt idx="9">
                  <c:v>黑水虻</c:v>
                </c:pt>
                <c:pt idx="10">
                  <c:v>基因克隆</c:v>
                </c:pt>
                <c:pt idx="11">
                  <c:v>课程思政</c:v>
                </c:pt>
              </c:strCache>
            </c:strRef>
          </c:cat>
          <c:val>
            <c:numRef>
              <c:f>'[CNKI-2024第一季度发文数据.xlsx]3关键词'!$F$3:$F$14</c:f>
              <c:numCache>
                <c:formatCode>General</c:formatCode>
                <c:ptCount val="12"/>
                <c:pt idx="0">
                  <c:v>3</c:v>
                </c:pt>
                <c:pt idx="1">
                  <c:v>3</c:v>
                </c:pt>
                <c:pt idx="2">
                  <c:v>3</c:v>
                </c:pt>
                <c:pt idx="3">
                  <c:v>3</c:v>
                </c:pt>
                <c:pt idx="4" c:formatCode="@">
                  <c:v>2</c:v>
                </c:pt>
                <c:pt idx="5">
                  <c:v>2</c:v>
                </c:pt>
                <c:pt idx="6">
                  <c:v>2</c:v>
                </c:pt>
                <c:pt idx="7">
                  <c:v>2</c:v>
                </c:pt>
                <c:pt idx="8">
                  <c:v>2</c:v>
                </c:pt>
                <c:pt idx="9" c:formatCode="@">
                  <c:v>2</c:v>
                </c:pt>
                <c:pt idx="10">
                  <c:v>2</c:v>
                </c:pt>
                <c:pt idx="11">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'[CNKI-2024第一季度发文数据.xlsx]7合作单位'!$I$3:$I$9</c:f>
              <c:strCache>
                <c:ptCount val="7"/>
                <c:pt idx="0">
                  <c:v>河北省(秦皇岛)甘薯产业技术研究院</c:v>
                </c:pt>
                <c:pt idx="1">
                  <c:v>河北中薯农业科技集团股份有限公司</c:v>
                </c:pt>
                <c:pt idx="2">
                  <c:v>曹妃甸职业技术学院职业教育研究中心</c:v>
                </c:pt>
                <c:pt idx="3">
                  <c:v>河北省肉鸡养殖与加工技术创新中心</c:v>
                </c:pt>
                <c:pt idx="4">
                  <c:v>辽宁师范大学</c:v>
                </c:pt>
                <c:pt idx="5">
                  <c:v>秦皇岛市经济昆虫开发利用工程技术研究中心</c:v>
                </c:pt>
                <c:pt idx="6">
                  <c:v>中国农业科学院植物保护研究所</c:v>
                </c:pt>
              </c:strCache>
            </c:strRef>
          </c:cat>
          <c:val>
            <c:numRef>
              <c:f>'[CNKI-2024第一季度发文数据.xlsx]7合作单位'!$J$3:$J$9</c:f>
              <c:numCache>
                <c:formatCode>General</c:formatCode>
                <c:ptCount val="7"/>
                <c:pt idx="0">
                  <c:v>3</c:v>
                </c:pt>
                <c:pt idx="1">
                  <c:v>3</c:v>
                </c:pt>
                <c:pt idx="2">
                  <c:v>2</c:v>
                </c:pt>
                <c:pt idx="3">
                  <c:v>2</c:v>
                </c:pt>
                <c:pt idx="4" c:formatCode="@">
                  <c:v>2</c:v>
                </c:pt>
                <c:pt idx="5">
                  <c:v>2</c:v>
                </c:pt>
                <c:pt idx="6">
                  <c:v>2</c:v>
                </c:pt>
              </c:numCache>
            </c:numRef>
          </c:val>
        </c:ser>
        <c:dLbls>
          <c:showLegendKey val="0"/>
          <c:showVal val="0"/>
          <c:showCatName val="0"/>
          <c:showSerName val="0"/>
          <c:showPercent val="0"/>
          <c:showBubbleSize val="0"/>
        </c:dLbls>
        <c:axId val="749906058"/>
        <c:axId val="990345193"/>
      </c:radarChart>
      <c:catAx>
        <c:axId val="74990605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0345193"/>
        <c:crosses val="autoZero"/>
        <c:auto val="1"/>
        <c:lblAlgn val="ctr"/>
        <c:lblOffset val="100"/>
        <c:noMultiLvlLbl val="0"/>
      </c:catAx>
      <c:valAx>
        <c:axId val="99034519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9060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合作机构</a:t>
            </a:r>
          </a:p>
        </c:rich>
      </c:tx>
      <c:layout>
        <c:manualLayout>
          <c:xMode val="edge"/>
          <c:yMode val="edge"/>
          <c:x val="0.418421052631579"/>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'[WOS-2024第一季度发文数据.xlsx]6合作机构'!$E$4:$E$12</c:f>
              <c:strCache>
                <c:ptCount val="9"/>
                <c:pt idx="0">
                  <c:v>Chinese Academy of Sciences</c:v>
                </c:pt>
                <c:pt idx="1">
                  <c:v>Tianjin University Science &amp; Technology</c:v>
                </c:pt>
                <c:pt idx="2">
                  <c:v>Chinese Academy of Agricultural Sciences</c:v>
                </c:pt>
                <c:pt idx="3">
                  <c:v>Beijing University of Technology</c:v>
                </c:pt>
                <c:pt idx="4">
                  <c:v>Yanshan University</c:v>
                </c:pt>
                <c:pt idx="5">
                  <c:v>Shijiazhuang Tiedao University</c:v>
                </c:pt>
                <c:pt idx="6">
                  <c:v>Lanzhou University</c:v>
                </c:pt>
                <c:pt idx="7">
                  <c:v>Lanzhou Veterinary Research Institute</c:v>
                </c:pt>
                <c:pt idx="8">
                  <c:v>University of Chinese Academy of Sciences</c:v>
                </c:pt>
              </c:strCache>
            </c:strRef>
          </c:cat>
          <c:val>
            <c:numRef>
              <c:f>'[WOS-2024第一季度发文数据.xlsx]6合作机构'!$F$4:$F$12</c:f>
              <c:numCache>
                <c:formatCode>General</c:formatCode>
                <c:ptCount val="9"/>
                <c:pt idx="0">
                  <c:v>8</c:v>
                </c:pt>
                <c:pt idx="1">
                  <c:v>8</c:v>
                </c:pt>
                <c:pt idx="2">
                  <c:v>6</c:v>
                </c:pt>
                <c:pt idx="3">
                  <c:v>5</c:v>
                </c:pt>
                <c:pt idx="4">
                  <c:v>5</c:v>
                </c:pt>
                <c:pt idx="5">
                  <c:v>4</c:v>
                </c:pt>
                <c:pt idx="6">
                  <c:v>3</c:v>
                </c:pt>
                <c:pt idx="7">
                  <c:v>3</c:v>
                </c:pt>
                <c:pt idx="8">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3627</Words>
  <Characters>5332</Characters>
  <Lines>0</Lines>
  <Paragraphs>0</Paragraphs>
  <TotalTime>16</TotalTime>
  <ScaleCrop>false</ScaleCrop>
  <LinksUpToDate>false</LinksUpToDate>
  <CharactersWithSpaces>5595</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Administrator</cp:lastModifiedBy>
  <dcterms:modified xsi:type="dcterms:W3CDTF">2024-04-29T03:22:11Z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67EB0E9F885749A28F66DD34A42035C8</vt:lpwstr>
  </property>
</Properties>
</file>