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80" w:lineRule="auto"/>
        <w:rPr>
          <w:rFonts w:hint="default" w:ascii="微软雅黑" w:hAnsi="微软雅黑" w:eastAsia="微软雅黑"/>
          <w:sz w:val="28"/>
          <w:u w:val="single"/>
        </w:rPr>
        <w:sectPr>
          <w:pgSz w:w="11906" w:h="16838"/>
          <w:pgMar w:top="1440" w:right="1080" w:bottom="1440" w:left="1080" w:header="1134" w:footer="794" w:gutter="0"/>
          <w:pgBorders>
            <w:top w:val="none" w:sz="0" w:space="0"/>
            <w:left w:val="none" w:sz="0" w:space="0"/>
            <w:bottom w:val="none" w:sz="0" w:space="0"/>
            <w:right w:val="none" w:sz="0" w:space="0"/>
          </w:pgBorders>
          <w:cols w:space="720" w:num="1"/>
          <w:titlePg/>
          <w:docGrid w:linePitch="286" w:charSpace="0"/>
        </w:sectPr>
      </w:pPr>
      <w:r>
        <w:rPr>
          <w:rFonts w:hint="default" w:ascii="微软雅黑" w:hAnsi="微软雅黑" w:eastAsia="微软雅黑"/>
          <w:sz w:val="28"/>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pPr>
                              <w:jc w:val="center"/>
                              <w:rPr>
                                <w:rFonts w:hint="default" w:ascii="微软雅黑" w:hAnsi="微软雅黑" w:eastAsia="微软雅黑"/>
                                <w:b/>
                                <w:color w:val="5B9BD5"/>
                                <w:sz w:val="28"/>
                              </w:rPr>
                            </w:pPr>
                            <w:r>
                              <w:rPr>
                                <w:rFonts w:ascii="微软雅黑" w:hAnsi="微软雅黑" w:eastAsia="微软雅黑"/>
                                <w:b/>
                                <w:color w:val="5B9BD5"/>
                                <w:sz w:val="28"/>
                              </w:rPr>
                              <w:t>202</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年</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pPr>
                        <w:jc w:val="center"/>
                        <w:rPr>
                          <w:rFonts w:hint="default" w:ascii="微软雅黑" w:hAnsi="微软雅黑" w:eastAsia="微软雅黑"/>
                          <w:b/>
                          <w:color w:val="5B9BD5"/>
                          <w:sz w:val="28"/>
                        </w:rPr>
                      </w:pPr>
                      <w:r>
                        <w:rPr>
                          <w:rFonts w:ascii="微软雅黑" w:hAnsi="微软雅黑" w:eastAsia="微软雅黑"/>
                          <w:b/>
                          <w:color w:val="5B9BD5"/>
                          <w:sz w:val="28"/>
                        </w:rPr>
                        <w:t>202</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年</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月</w:t>
                      </w: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default"/>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4" name="等腰三角形 4"/>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pPr>
                              <w:rPr>
                                <w:rFonts w:hint="default"/>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IRaKGhsC&#10;AAAFBAAADgAAAAAAAAABACAAAAAnAQAAZHJzL2Uyb0RvYy54bWxQSwUGAAAAAAYABgBZAQAAtAUA&#10;AAAA&#10;" adj="21600">
                <v:fill on="t" opacity="46516f" focussize="0,0"/>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color w:val="000000"/>
          <w:sz w:val="48"/>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6"/>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3"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7"/>
                          <a:stretch>
                            <a:fillRect/>
                          </a:stretch>
                        </a:blipFill>
                        <a:ln w="12700">
                          <a:noFill/>
                        </a:ln>
                      </wps:spPr>
                      <wps:txbx>
                        <w:txbxContent>
                          <w:p>
                            <w:pPr>
                              <w:rPr>
                                <w:rFonts w:hint="default"/>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CurszrOAIAAHU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7"/>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pPr>
                              <w:spacing w:line="300" w:lineRule="atLeast"/>
                              <w:ind w:firstLine="2081" w:firstLineChars="400"/>
                              <w:rPr>
                                <w:rFonts w:hint="default" w:ascii="黑体" w:hAnsi="黑体" w:eastAsia="黑体" w:cs="黑体"/>
                                <w:sz w:val="28"/>
                                <w:szCs w:val="28"/>
                              </w:rPr>
                            </w:pPr>
                            <w:r>
                              <w:rPr>
                                <w:rFonts w:ascii="微软雅黑" w:hAnsi="微软雅黑" w:eastAsia="微软雅黑"/>
                                <w:b/>
                                <w:color w:val="5B9BD5"/>
                                <w:sz w:val="52"/>
                                <w:szCs w:val="52"/>
                                <w:u w:val="dashLongHeavy"/>
                              </w:rPr>
                              <w:t>202</w:t>
                            </w:r>
                            <w:r>
                              <w:rPr>
                                <w:rFonts w:hint="eastAsia" w:ascii="微软雅黑" w:hAnsi="微软雅黑" w:eastAsia="微软雅黑"/>
                                <w:b/>
                                <w:color w:val="5B9BD5"/>
                                <w:sz w:val="52"/>
                                <w:szCs w:val="52"/>
                                <w:u w:val="dashLongHeavy"/>
                                <w:lang w:val="en-US" w:eastAsia="zh-CN"/>
                              </w:rPr>
                              <w:t>4</w:t>
                            </w:r>
                            <w:r>
                              <w:rPr>
                                <w:rFonts w:ascii="微软雅黑" w:hAnsi="微软雅黑" w:eastAsia="微软雅黑"/>
                                <w:b/>
                                <w:color w:val="5B9BD5"/>
                                <w:sz w:val="52"/>
                                <w:szCs w:val="52"/>
                                <w:u w:val="dashLongHeavy"/>
                              </w:rPr>
                              <w:t>年</w:t>
                            </w:r>
                            <w:r>
                              <w:rPr>
                                <w:rFonts w:hint="eastAsia" w:ascii="微软雅黑" w:hAnsi="微软雅黑" w:eastAsia="微软雅黑"/>
                                <w:b/>
                                <w:color w:val="5B9BD5"/>
                                <w:sz w:val="52"/>
                                <w:szCs w:val="52"/>
                                <w:u w:val="dashLongHeavy"/>
                                <w:lang w:eastAsia="zh-CN"/>
                              </w:rPr>
                              <w:t>第</w:t>
                            </w:r>
                            <w:r>
                              <w:rPr>
                                <w:rFonts w:hint="eastAsia" w:ascii="微软雅黑" w:hAnsi="微软雅黑" w:eastAsia="微软雅黑"/>
                                <w:b/>
                                <w:color w:val="5B9BD5"/>
                                <w:sz w:val="52"/>
                                <w:szCs w:val="52"/>
                                <w:u w:val="dashLongHeavy"/>
                                <w:lang w:val="en-US" w:eastAsia="zh-CN"/>
                              </w:rPr>
                              <w:t>一</w:t>
                            </w:r>
                            <w:r>
                              <w:rPr>
                                <w:rFonts w:hint="eastAsia" w:ascii="微软雅黑" w:hAnsi="微软雅黑" w:eastAsia="微软雅黑"/>
                                <w:b/>
                                <w:color w:val="5B9BD5"/>
                                <w:sz w:val="52"/>
                                <w:szCs w:val="52"/>
                                <w:u w:val="dashLongHeavy"/>
                                <w:lang w:eastAsia="zh-CN"/>
                              </w:rPr>
                              <w:t>季度</w:t>
                            </w:r>
                            <w:r>
                              <w:rPr>
                                <w:rFonts w:ascii="微软雅黑" w:hAnsi="微软雅黑" w:eastAsia="微软雅黑"/>
                                <w:b/>
                                <w:color w:val="5B9BD5"/>
                                <w:sz w:val="52"/>
                                <w:szCs w:val="52"/>
                                <w:u w:val="dashLongHeavy"/>
                              </w:rPr>
                              <w:t>专利统计分析报告</w:t>
                            </w:r>
                          </w:p>
                          <w:p>
                            <w:pPr>
                              <w:ind w:firstLine="1961" w:firstLineChars="700"/>
                              <w:rPr>
                                <w:rFonts w:hint="default" w:ascii="微软雅黑" w:hAnsi="微软雅黑" w:eastAsia="微软雅黑"/>
                                <w:b/>
                                <w:color w:val="5B9BD5"/>
                                <w:sz w:val="28"/>
                              </w:rPr>
                            </w:pPr>
                          </w:p>
                          <w:p>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9CeOu3QAAAAwBAAAPAAAAAAAAAAEAIAAAACIAAABkcnMvZG93bnJl&#10;di54bWxQSwECFAAUAAAACACHTuJAW3Sqmr8BAABmAwAADgAAAAAAAAABACAAAAAsAQAAZHJzL2Uy&#10;b0RvYy54bWxQSwUGAAAAAAYABgBZAQAAXQUAAAAA&#10;">
                <v:fill on="f" focussize="0,0"/>
                <v:stroke on="f" weight="0.5pt"/>
                <v:imagedata o:title=""/>
                <o:lock v:ext="edit" aspectratio="f"/>
                <v:textbox>
                  <w:txbxContent>
                    <w:p>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pPr>
                        <w:spacing w:line="300" w:lineRule="atLeast"/>
                        <w:ind w:firstLine="2081" w:firstLineChars="400"/>
                        <w:rPr>
                          <w:rFonts w:hint="default" w:ascii="黑体" w:hAnsi="黑体" w:eastAsia="黑体" w:cs="黑体"/>
                          <w:sz w:val="28"/>
                          <w:szCs w:val="28"/>
                        </w:rPr>
                      </w:pPr>
                      <w:r>
                        <w:rPr>
                          <w:rFonts w:ascii="微软雅黑" w:hAnsi="微软雅黑" w:eastAsia="微软雅黑"/>
                          <w:b/>
                          <w:color w:val="5B9BD5"/>
                          <w:sz w:val="52"/>
                          <w:szCs w:val="52"/>
                          <w:u w:val="dashLongHeavy"/>
                        </w:rPr>
                        <w:t>202</w:t>
                      </w:r>
                      <w:r>
                        <w:rPr>
                          <w:rFonts w:hint="eastAsia" w:ascii="微软雅黑" w:hAnsi="微软雅黑" w:eastAsia="微软雅黑"/>
                          <w:b/>
                          <w:color w:val="5B9BD5"/>
                          <w:sz w:val="52"/>
                          <w:szCs w:val="52"/>
                          <w:u w:val="dashLongHeavy"/>
                          <w:lang w:val="en-US" w:eastAsia="zh-CN"/>
                        </w:rPr>
                        <w:t>4</w:t>
                      </w:r>
                      <w:r>
                        <w:rPr>
                          <w:rFonts w:ascii="微软雅黑" w:hAnsi="微软雅黑" w:eastAsia="微软雅黑"/>
                          <w:b/>
                          <w:color w:val="5B9BD5"/>
                          <w:sz w:val="52"/>
                          <w:szCs w:val="52"/>
                          <w:u w:val="dashLongHeavy"/>
                        </w:rPr>
                        <w:t>年</w:t>
                      </w:r>
                      <w:r>
                        <w:rPr>
                          <w:rFonts w:hint="eastAsia" w:ascii="微软雅黑" w:hAnsi="微软雅黑" w:eastAsia="微软雅黑"/>
                          <w:b/>
                          <w:color w:val="5B9BD5"/>
                          <w:sz w:val="52"/>
                          <w:szCs w:val="52"/>
                          <w:u w:val="dashLongHeavy"/>
                          <w:lang w:eastAsia="zh-CN"/>
                        </w:rPr>
                        <w:t>第</w:t>
                      </w:r>
                      <w:r>
                        <w:rPr>
                          <w:rFonts w:hint="eastAsia" w:ascii="微软雅黑" w:hAnsi="微软雅黑" w:eastAsia="微软雅黑"/>
                          <w:b/>
                          <w:color w:val="5B9BD5"/>
                          <w:sz w:val="52"/>
                          <w:szCs w:val="52"/>
                          <w:u w:val="dashLongHeavy"/>
                          <w:lang w:val="en-US" w:eastAsia="zh-CN"/>
                        </w:rPr>
                        <w:t>一</w:t>
                      </w:r>
                      <w:r>
                        <w:rPr>
                          <w:rFonts w:hint="eastAsia" w:ascii="微软雅黑" w:hAnsi="微软雅黑" w:eastAsia="微软雅黑"/>
                          <w:b/>
                          <w:color w:val="5B9BD5"/>
                          <w:sz w:val="52"/>
                          <w:szCs w:val="52"/>
                          <w:u w:val="dashLongHeavy"/>
                          <w:lang w:eastAsia="zh-CN"/>
                        </w:rPr>
                        <w:t>季度</w:t>
                      </w:r>
                      <w:r>
                        <w:rPr>
                          <w:rFonts w:ascii="微软雅黑" w:hAnsi="微软雅黑" w:eastAsia="微软雅黑"/>
                          <w:b/>
                          <w:color w:val="5B9BD5"/>
                          <w:sz w:val="52"/>
                          <w:szCs w:val="52"/>
                          <w:u w:val="dashLongHeavy"/>
                        </w:rPr>
                        <w:t>专利统计分析报告</w:t>
                      </w:r>
                    </w:p>
                    <w:p>
                      <w:pPr>
                        <w:ind w:firstLine="1961" w:firstLineChars="700"/>
                        <w:rPr>
                          <w:rFonts w:hint="default" w:ascii="微软雅黑" w:hAnsi="微软雅黑" w:eastAsia="微软雅黑"/>
                          <w:b/>
                          <w:color w:val="5B9BD5"/>
                          <w:sz w:val="28"/>
                        </w:rPr>
                      </w:pPr>
                    </w:p>
                    <w:p>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02050"/>
                <wp:effectExtent l="0" t="0" r="0" b="12700"/>
                <wp:wrapNone/>
                <wp:docPr id="2" name="箭头: 左 10"/>
                <wp:cNvGraphicFramePr/>
                <a:graphic xmlns:a="http://schemas.openxmlformats.org/drawingml/2006/main">
                  <a:graphicData uri="http://schemas.microsoft.com/office/word/2010/wordprocessingShape">
                    <wps:wsp>
                      <wps:cNvSpPr/>
                      <wps:spPr>
                        <a:xfrm flipH="1">
                          <a:off x="0" y="0"/>
                          <a:ext cx="7848600" cy="3702050"/>
                        </a:xfrm>
                        <a:prstGeom prst="leftArrow">
                          <a:avLst>
                            <a:gd name="adj1" fmla="val 50000"/>
                            <a:gd name="adj2" fmla="val 53701"/>
                          </a:avLst>
                        </a:prstGeom>
                        <a:solidFill>
                          <a:srgbClr val="DEEBF7">
                            <a:alpha val="65097"/>
                          </a:srgbClr>
                        </a:solidFill>
                        <a:ln w="12700">
                          <a:noFill/>
                        </a:ln>
                      </wps:spPr>
                      <wps:txbx>
                        <w:txbxContent>
                          <w:p>
                            <w:pPr>
                              <w:rPr>
                                <w:rFonts w:hint="default"/>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1.5pt;width:618pt;mso-position-horizontal-relative:page;mso-position-vertical-relative:page;z-index:-251656192;v-text-anchor:middle;mso-width-relative:page;mso-height-relative:page;" fillcolor="#DEEBF7" filled="t" stroked="f" coordsize="21600,21600" o:gfxdata="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GCk+doAAAANAQAADwAAAAAAAAABACAAAAAiAAAAZHJzL2Rvd25yZXYueG1sUEsBAhQAFAAAAAgA&#10;h07iQF9xEZUjAgAAMQQAAA4AAAAAAAAAAQAgAAAAKQEAAGRycy9lMm9Eb2MueG1sUEsFBgAAAAAG&#10;AAYAWQEAAL4FAAAAAA==&#10;" adj="5471,5400">
                <v:fill on="t" opacity="42661f" focussize="0,0"/>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7"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15"/>
                              <w:spacing w:before="40" w:after="560" w:line="216" w:lineRule="auto"/>
                              <w:rPr>
                                <w:rFonts w:hint="default" w:ascii="微软雅黑" w:hAnsi="微软雅黑" w:eastAsia="微软雅黑"/>
                                <w:color w:val="000000"/>
                                <w:sz w:val="48"/>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CKqGCJ9QEAANcDAAAOAAAAZHJzL2Uyb0RvYy54bWytU82O&#10;0zAQviPxDpbvNNku222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Rb0mhLDNDb8&#10;9PPH6def0+/vZBrlaZ1fYtadw7zQvbEdDs3o9+iMrLsKdPwjH4JxFPd4Fld0gXB0Ti+vXy9yDHGM&#10;Lebz2eIqwmT3px348FZYTaJRUMDmJU3Z4b0PfeqYEi/zVslyK5VKG6h3twrIgWGjt+kb0B+lKUPa&#10;gs4ur/KEbGw830Mrg8VEsj2paIVu1w0K7Gx5RAHw3WBljYVvlLQ4NQX1X/cMBCXqncG2xBEbDRiN&#10;3Wgww/FoQQMlvXkb+lHcO5B1g8hJ2VQF9juJM8xmHKiH+1Tr/Xt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iqhgifUBAADXAwAADgAAAAAAAAABACAAAAAmAQAAZHJzL2Uyb0RvYy54bWxQ&#10;SwUGAAAAAAYABgBZAQAAjQUAAAAA&#10;">
                <v:fill on="t" focussize="0,0"/>
                <v:stroke on="f" weight="0.5pt"/>
                <v:imagedata o:title=""/>
                <o:lock v:ext="edit" aspectratio="f"/>
                <v:textbox inset="0mm,0mm,0mm,0mm">
                  <w:txbxContent>
                    <w:p>
                      <w:pPr>
                        <w:pStyle w:val="15"/>
                        <w:spacing w:before="40" w:after="560" w:line="216" w:lineRule="auto"/>
                        <w:rPr>
                          <w:rFonts w:hint="default" w:ascii="微软雅黑" w:hAnsi="微软雅黑" w:eastAsia="微软雅黑"/>
                          <w:color w:val="000000"/>
                          <w:sz w:val="48"/>
                        </w:rPr>
                      </w:pPr>
                    </w:p>
                  </w:txbxContent>
                </v:textbox>
              </v:shape>
            </w:pict>
          </mc:Fallback>
        </mc:AlternateContent>
      </w:r>
    </w:p>
    <w:p>
      <w:pPr>
        <w:spacing w:line="480" w:lineRule="auto"/>
        <w:outlineLvl w:val="0"/>
        <w:rPr>
          <w:rFonts w:hint="default" w:ascii="仿宋" w:hAnsi="仿宋" w:eastAsia="仿宋" w:cs="仿宋"/>
          <w:sz w:val="28"/>
          <w:szCs w:val="28"/>
        </w:rPr>
      </w:pPr>
      <w:r>
        <w:rPr>
          <w:rFonts w:ascii="仿宋" w:hAnsi="仿宋" w:eastAsia="仿宋" w:cs="仿宋"/>
          <w:b/>
          <w:bCs/>
          <w:sz w:val="28"/>
          <w:szCs w:val="28"/>
        </w:rPr>
        <w:t>数据来源</w:t>
      </w:r>
    </w:p>
    <w:p>
      <w:pPr>
        <w:spacing w:line="480" w:lineRule="auto"/>
        <w:ind w:left="360"/>
        <w:rPr>
          <w:rFonts w:hint="default" w:ascii="仿宋" w:hAnsi="仿宋" w:eastAsia="仿宋" w:cs="仿宋"/>
          <w:sz w:val="28"/>
          <w:szCs w:val="28"/>
        </w:rPr>
      </w:pPr>
      <w:r>
        <w:rPr>
          <w:rFonts w:ascii="仿宋" w:hAnsi="仿宋" w:eastAsia="仿宋" w:cs="仿宋"/>
          <w:sz w:val="28"/>
          <w:szCs w:val="28"/>
        </w:rPr>
        <w:t>本报告的数据来源有两个方面：</w:t>
      </w:r>
    </w:p>
    <w:p>
      <w:pPr>
        <w:spacing w:line="480" w:lineRule="auto"/>
        <w:ind w:left="360"/>
        <w:rPr>
          <w:rFonts w:hint="default" w:ascii="仿宋" w:hAnsi="仿宋" w:eastAsia="仿宋" w:cs="仿宋"/>
          <w:sz w:val="28"/>
          <w:szCs w:val="28"/>
        </w:rPr>
      </w:pPr>
      <w:r>
        <w:rPr>
          <w:rFonts w:ascii="仿宋" w:hAnsi="仿宋" w:eastAsia="仿宋" w:cs="仿宋"/>
          <w:sz w:val="28"/>
          <w:szCs w:val="28"/>
        </w:rPr>
        <w:t>（1）中国知网（CNKI）专利数据库，数据统计下载日期为202</w:t>
      </w:r>
      <w:r>
        <w:rPr>
          <w:rFonts w:hint="eastAsia" w:ascii="仿宋" w:hAnsi="仿宋" w:eastAsia="仿宋" w:cs="仿宋"/>
          <w:sz w:val="28"/>
          <w:szCs w:val="28"/>
          <w:lang w:val="en-US" w:eastAsia="zh-CN"/>
        </w:rPr>
        <w:t>4</w:t>
      </w:r>
      <w:r>
        <w:rPr>
          <w:rFonts w:ascii="仿宋" w:hAnsi="仿宋" w:eastAsia="仿宋" w:cs="仿宋"/>
          <w:sz w:val="28"/>
          <w:szCs w:val="28"/>
        </w:rPr>
        <w:t>年</w:t>
      </w:r>
      <w:r>
        <w:rPr>
          <w:rFonts w:hint="eastAsia" w:ascii="仿宋" w:hAnsi="仿宋" w:eastAsia="仿宋" w:cs="仿宋"/>
          <w:sz w:val="28"/>
          <w:szCs w:val="28"/>
          <w:lang w:val="en-US" w:eastAsia="zh-CN"/>
        </w:rPr>
        <w:t>4</w:t>
      </w:r>
      <w:r>
        <w:rPr>
          <w:rFonts w:ascii="仿宋" w:hAnsi="仿宋" w:eastAsia="仿宋" w:cs="仿宋"/>
          <w:sz w:val="28"/>
          <w:szCs w:val="28"/>
        </w:rPr>
        <w:t>月</w:t>
      </w:r>
      <w:r>
        <w:rPr>
          <w:rFonts w:hint="eastAsia" w:ascii="仿宋" w:hAnsi="仿宋" w:eastAsia="仿宋" w:cs="仿宋"/>
          <w:sz w:val="28"/>
          <w:szCs w:val="28"/>
          <w:lang w:val="en-US" w:eastAsia="zh-CN"/>
        </w:rPr>
        <w:t>25</w:t>
      </w:r>
      <w:r>
        <w:rPr>
          <w:rFonts w:ascii="仿宋" w:hAnsi="仿宋" w:eastAsia="仿宋" w:cs="仿宋"/>
          <w:sz w:val="28"/>
          <w:szCs w:val="28"/>
        </w:rPr>
        <w:t>日。</w:t>
      </w:r>
    </w:p>
    <w:p>
      <w:pPr>
        <w:spacing w:line="480" w:lineRule="auto"/>
        <w:ind w:left="360"/>
        <w:rPr>
          <w:rFonts w:hint="default" w:ascii="仿宋" w:hAnsi="仿宋" w:eastAsia="仿宋" w:cs="仿宋"/>
          <w:sz w:val="28"/>
          <w:szCs w:val="28"/>
        </w:rPr>
      </w:pPr>
      <w:r>
        <w:rPr>
          <w:rFonts w:ascii="仿宋" w:hAnsi="仿宋" w:eastAsia="仿宋" w:cs="仿宋"/>
          <w:sz w:val="28"/>
          <w:szCs w:val="28"/>
        </w:rPr>
        <w:t>（2）国家知识产权局专利检索及分析数据库，数据统计下载日期为202</w:t>
      </w:r>
      <w:r>
        <w:rPr>
          <w:rFonts w:hint="eastAsia" w:ascii="仿宋" w:hAnsi="仿宋" w:eastAsia="仿宋" w:cs="仿宋"/>
          <w:sz w:val="28"/>
          <w:szCs w:val="28"/>
          <w:lang w:val="en-US" w:eastAsia="zh-CN"/>
        </w:rPr>
        <w:t>4</w:t>
      </w:r>
      <w:r>
        <w:rPr>
          <w:rFonts w:ascii="仿宋" w:hAnsi="仿宋" w:eastAsia="仿宋" w:cs="仿宋"/>
          <w:sz w:val="28"/>
          <w:szCs w:val="28"/>
        </w:rPr>
        <w:t>年</w:t>
      </w:r>
      <w:r>
        <w:rPr>
          <w:rFonts w:hint="eastAsia" w:ascii="仿宋" w:hAnsi="仿宋" w:eastAsia="仿宋" w:cs="仿宋"/>
          <w:sz w:val="28"/>
          <w:szCs w:val="28"/>
          <w:lang w:val="en-US" w:eastAsia="zh-CN"/>
        </w:rPr>
        <w:t>4</w:t>
      </w:r>
      <w:r>
        <w:rPr>
          <w:rFonts w:ascii="仿宋" w:hAnsi="仿宋" w:eastAsia="仿宋" w:cs="仿宋"/>
          <w:sz w:val="28"/>
          <w:szCs w:val="28"/>
        </w:rPr>
        <w:t>月</w:t>
      </w:r>
      <w:r>
        <w:rPr>
          <w:rFonts w:hint="eastAsia" w:ascii="仿宋" w:hAnsi="仿宋" w:eastAsia="仿宋" w:cs="仿宋"/>
          <w:sz w:val="28"/>
          <w:szCs w:val="28"/>
          <w:lang w:val="en-US" w:eastAsia="zh-CN"/>
        </w:rPr>
        <w:t>26</w:t>
      </w:r>
      <w:r>
        <w:rPr>
          <w:rFonts w:ascii="仿宋" w:hAnsi="仿宋" w:eastAsia="仿宋" w:cs="仿宋"/>
          <w:sz w:val="28"/>
          <w:szCs w:val="28"/>
        </w:rPr>
        <w:t>日。</w:t>
      </w:r>
    </w:p>
    <w:p>
      <w:pPr>
        <w:spacing w:line="480" w:lineRule="auto"/>
        <w:outlineLvl w:val="0"/>
        <w:rPr>
          <w:rFonts w:hint="default" w:ascii="仿宋" w:hAnsi="仿宋" w:eastAsia="仿宋" w:cs="仿宋"/>
          <w:sz w:val="28"/>
          <w:szCs w:val="28"/>
        </w:rPr>
      </w:pPr>
      <w:bookmarkStart w:id="0" w:name="_Toc5625"/>
      <w:bookmarkStart w:id="1" w:name="_Toc31217"/>
      <w:bookmarkStart w:id="2" w:name="_Toc20858"/>
      <w:bookmarkStart w:id="3" w:name="_Toc9203"/>
      <w:bookmarkStart w:id="4" w:name="_Toc9874"/>
      <w:r>
        <w:rPr>
          <w:rFonts w:ascii="仿宋" w:hAnsi="仿宋" w:eastAsia="仿宋" w:cs="仿宋"/>
          <w:b/>
          <w:bCs/>
          <w:sz w:val="28"/>
          <w:szCs w:val="28"/>
        </w:rPr>
        <w:t>数据处理</w:t>
      </w:r>
      <w:bookmarkEnd w:id="0"/>
      <w:bookmarkEnd w:id="1"/>
      <w:bookmarkEnd w:id="2"/>
      <w:bookmarkEnd w:id="3"/>
      <w:bookmarkEnd w:id="4"/>
    </w:p>
    <w:p>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（1）由于不同数据库更新周期不同，每次检索时间不同，检索结果也不相同。所以报告的数据及分析内容只对报告列出的当时检索时间为准。</w:t>
      </w:r>
    </w:p>
    <w:p>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480" w:lineRule="auto"/>
        <w:jc w:val="left"/>
        <w:outlineLvl w:val="0"/>
        <w:rPr>
          <w:rFonts w:hint="default" w:ascii="仿宋" w:hAnsi="仿宋" w:eastAsia="仿宋" w:cs="仿宋"/>
          <w:sz w:val="28"/>
          <w:szCs w:val="28"/>
        </w:rPr>
      </w:pPr>
      <w:bookmarkStart w:id="5" w:name="_Toc11709"/>
      <w:bookmarkStart w:id="6" w:name="_Toc17869"/>
      <w:bookmarkStart w:id="7" w:name="_Toc3908"/>
      <w:bookmarkStart w:id="8" w:name="_Toc25482"/>
      <w:bookmarkStart w:id="9" w:name="_Toc29516"/>
      <w:r>
        <w:rPr>
          <w:rFonts w:ascii="仿宋" w:hAnsi="仿宋" w:eastAsia="仿宋" w:cs="仿宋"/>
          <w:b/>
          <w:bCs/>
          <w:sz w:val="28"/>
          <w:szCs w:val="28"/>
        </w:rPr>
        <w:t>报告撰写</w:t>
      </w:r>
      <w:r>
        <w:rPr>
          <w:rFonts w:ascii="仿宋" w:hAnsi="仿宋" w:eastAsia="仿宋" w:cs="仿宋"/>
          <w:sz w:val="28"/>
          <w:szCs w:val="28"/>
        </w:rPr>
        <w:t>：闫  明</w:t>
      </w:r>
      <w:bookmarkEnd w:id="5"/>
      <w:bookmarkEnd w:id="6"/>
      <w:bookmarkEnd w:id="7"/>
      <w:bookmarkEnd w:id="8"/>
      <w:bookmarkEnd w:id="9"/>
      <w:r>
        <w:rPr>
          <w:rFonts w:ascii="仿宋" w:hAnsi="仿宋" w:eastAsia="仿宋" w:cs="仿宋"/>
          <w:sz w:val="28"/>
          <w:szCs w:val="28"/>
        </w:rPr>
        <w:t xml:space="preserve">    </w:t>
      </w:r>
    </w:p>
    <w:p>
      <w:pPr>
        <w:spacing w:line="480" w:lineRule="auto"/>
        <w:jc w:val="left"/>
        <w:outlineLvl w:val="0"/>
        <w:rPr>
          <w:rFonts w:ascii="仿宋" w:hAnsi="仿宋" w:eastAsia="仿宋" w:cs="仿宋"/>
          <w:sz w:val="28"/>
          <w:szCs w:val="28"/>
        </w:rPr>
      </w:pPr>
      <w:bookmarkStart w:id="10" w:name="_Toc2529"/>
      <w:bookmarkStart w:id="11" w:name="_Toc27907"/>
      <w:bookmarkStart w:id="12" w:name="_Toc6044"/>
      <w:bookmarkStart w:id="13" w:name="_Toc5698"/>
      <w:bookmarkStart w:id="14" w:name="_Toc10280"/>
      <w:r>
        <w:rPr>
          <w:rFonts w:ascii="仿宋" w:hAnsi="仿宋" w:eastAsia="仿宋" w:cs="仿宋"/>
          <w:b/>
          <w:bCs/>
          <w:sz w:val="28"/>
          <w:szCs w:val="28"/>
        </w:rPr>
        <w:t>数据处理</w:t>
      </w:r>
      <w:r>
        <w:rPr>
          <w:rFonts w:ascii="仿宋" w:hAnsi="仿宋" w:eastAsia="仿宋" w:cs="仿宋"/>
          <w:sz w:val="28"/>
          <w:szCs w:val="28"/>
        </w:rPr>
        <w:t>：闫  明</w:t>
      </w:r>
      <w:bookmarkEnd w:id="10"/>
      <w:bookmarkEnd w:id="11"/>
      <w:bookmarkEnd w:id="12"/>
      <w:bookmarkEnd w:id="13"/>
      <w:bookmarkEnd w:id="14"/>
    </w:p>
    <w:p>
      <w:pPr>
        <w:spacing w:line="480" w:lineRule="auto"/>
        <w:jc w:val="left"/>
        <w:outlineLvl w:val="0"/>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审    核：</w:t>
      </w:r>
      <w:r>
        <w:rPr>
          <w:rFonts w:hint="eastAsia" w:ascii="仿宋" w:hAnsi="仿宋" w:eastAsia="仿宋" w:cs="仿宋"/>
          <w:sz w:val="28"/>
          <w:szCs w:val="28"/>
          <w:lang w:val="en-US" w:eastAsia="zh-CN"/>
        </w:rPr>
        <w:t>张  锴</w:t>
      </w:r>
    </w:p>
    <w:p>
      <w:pPr>
        <w:spacing w:line="480" w:lineRule="auto"/>
        <w:ind w:left="360"/>
        <w:jc w:val="left"/>
        <w:rPr>
          <w:rFonts w:hint="default" w:ascii="仿宋" w:hAnsi="仿宋" w:eastAsia="仿宋" w:cs="仿宋"/>
          <w:sz w:val="28"/>
          <w:szCs w:val="28"/>
        </w:rPr>
      </w:pPr>
      <w:r>
        <w:rPr>
          <w:rFonts w:ascii="仿宋" w:hAnsi="仿宋" w:eastAsia="仿宋" w:cs="仿宋"/>
          <w:sz w:val="28"/>
          <w:szCs w:val="28"/>
        </w:rPr>
        <w:t xml:space="preserve">          </w:t>
      </w:r>
    </w:p>
    <w:p>
      <w:pPr>
        <w:adjustRightInd/>
        <w:spacing w:line="240" w:lineRule="atLeast"/>
        <w:rPr>
          <w:rFonts w:hint="default" w:ascii="仿宋" w:hAnsi="仿宋" w:eastAsia="仿宋" w:cs="仿宋"/>
          <w:sz w:val="28"/>
          <w:szCs w:val="28"/>
        </w:rPr>
      </w:pPr>
    </w:p>
    <w:p>
      <w:pPr>
        <w:rPr>
          <w:rFonts w:hint="default"/>
        </w:rPr>
      </w:pPr>
    </w:p>
    <w:p>
      <w:pPr>
        <w:rPr>
          <w:rFonts w:hint="default"/>
        </w:rPr>
      </w:pPr>
    </w:p>
    <w:p>
      <w:pPr>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cstheme="minorBidi"/>
          <w:b/>
          <w:bCs/>
          <w:kern w:val="2"/>
          <w:sz w:val="44"/>
          <w:szCs w:val="44"/>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rPr>
      </w:sdtEndPr>
      <w:sdtContent>
        <w:p>
          <w:pPr>
            <w:spacing w:line="240" w:lineRule="auto"/>
            <w:jc w:val="center"/>
            <w:rPr>
              <w:rFonts w:hint="default" w:ascii="黑体" w:hAnsi="黑体" w:eastAsia="黑体" w:cs="黑体"/>
              <w:b/>
              <w:bCs/>
              <w:sz w:val="44"/>
              <w:szCs w:val="44"/>
            </w:rPr>
          </w:pPr>
          <w:r>
            <w:rPr>
              <w:rFonts w:ascii="黑体" w:hAnsi="黑体" w:eastAsia="黑体" w:cs="黑体"/>
              <w:b/>
              <w:bCs/>
              <w:sz w:val="44"/>
              <w:szCs w:val="44"/>
            </w:rPr>
            <w:t>目录</w:t>
          </w:r>
        </w:p>
        <w:p>
          <w:pPr>
            <w:pStyle w:val="12"/>
            <w:tabs>
              <w:tab w:val="right" w:leader="dot" w:pos="8306"/>
            </w:tabs>
            <w:rPr>
              <w:b/>
            </w:rPr>
          </w:pPr>
          <w:r>
            <w:rPr>
              <w:rFonts w:hint="eastAsia"/>
            </w:rPr>
            <w:fldChar w:fldCharType="begin"/>
          </w:r>
          <w:r>
            <w:instrText xml:space="preserve">TOC \o "1-2" \h \u </w:instrText>
          </w:r>
          <w:r>
            <w:rPr>
              <w:rFonts w:hint="eastAsia"/>
            </w:rPr>
            <w:fldChar w:fldCharType="separate"/>
          </w:r>
        </w:p>
        <w:p>
          <w:pPr>
            <w:pStyle w:val="12"/>
            <w:tabs>
              <w:tab w:val="right" w:leader="dot" w:pos="8306"/>
            </w:tabs>
            <w:spacing w:line="480" w:lineRule="auto"/>
            <w:rPr>
              <w:rFonts w:ascii="宋体" w:hAnsi="宋体" w:cs="宋体"/>
              <w:bCs/>
              <w:sz w:val="24"/>
            </w:rPr>
          </w:pPr>
          <w:r>
            <w:fldChar w:fldCharType="begin"/>
          </w:r>
          <w:r>
            <w:instrText xml:space="preserve"> HYPERLINK \l "_Toc9885" </w:instrText>
          </w:r>
          <w:r>
            <w:fldChar w:fldCharType="separate"/>
          </w:r>
          <w:r>
            <w:rPr>
              <w:rFonts w:hint="eastAsia" w:ascii="宋体" w:hAnsi="宋体" w:cs="宋体"/>
              <w:bCs/>
              <w:sz w:val="24"/>
            </w:rPr>
            <w:t>1.专利数量分析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_Toc9885 \h </w:instrText>
          </w:r>
          <w:r>
            <w:rPr>
              <w:rFonts w:hint="eastAsia" w:ascii="宋体" w:hAnsi="宋体" w:cs="宋体"/>
              <w:bCs/>
              <w:sz w:val="24"/>
            </w:rPr>
            <w:fldChar w:fldCharType="separate"/>
          </w:r>
          <w:r>
            <w:rPr>
              <w:rFonts w:hint="eastAsia" w:ascii="宋体" w:hAnsi="宋体" w:cs="宋体"/>
              <w:bCs/>
              <w:sz w:val="24"/>
            </w:rPr>
            <w:t>4</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"_Toc6255" </w:instrText>
          </w:r>
          <w:r>
            <w:fldChar w:fldCharType="separate"/>
          </w:r>
          <w:r>
            <w:rPr>
              <w:rFonts w:hint="eastAsia" w:ascii="宋体" w:hAnsi="宋体" w:cs="宋体"/>
              <w:bCs/>
              <w:sz w:val="24"/>
            </w:rPr>
            <w:t>2.专利类别分析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_Toc6255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"_Toc12539" </w:instrText>
          </w:r>
          <w:r>
            <w:fldChar w:fldCharType="separate"/>
          </w:r>
          <w:r>
            <w:rPr>
              <w:rFonts w:hint="eastAsia" w:ascii="宋体" w:hAnsi="宋体" w:cs="宋体"/>
              <w:bCs/>
              <w:sz w:val="24"/>
            </w:rPr>
            <w:t>3.学科分析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_Toc12539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"_Toc18240" </w:instrText>
          </w:r>
          <w:r>
            <w:fldChar w:fldCharType="separate"/>
          </w:r>
          <w:r>
            <w:rPr>
              <w:rFonts w:hint="eastAsia" w:ascii="宋体" w:hAnsi="宋体" w:cs="宋体"/>
              <w:bCs/>
              <w:sz w:val="24"/>
            </w:rPr>
            <w:t>4.主题词分析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_Toc18240 \h </w:instrText>
          </w:r>
          <w:r>
            <w:rPr>
              <w:rFonts w:hint="eastAsia" w:ascii="宋体" w:hAnsi="宋体" w:cs="宋体"/>
              <w:bCs/>
              <w:sz w:val="24"/>
            </w:rPr>
            <w:fldChar w:fldCharType="separate"/>
          </w:r>
          <w:r>
            <w:rPr>
              <w:rFonts w:hint="eastAsia" w:ascii="宋体" w:hAnsi="宋体" w:cs="宋体"/>
              <w:bCs/>
              <w:sz w:val="24"/>
            </w:rPr>
            <w:t>6</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"_Toc9952" </w:instrText>
          </w:r>
          <w:r>
            <w:fldChar w:fldCharType="separate"/>
          </w:r>
          <w:r>
            <w:rPr>
              <w:rFonts w:hint="eastAsia" w:ascii="宋体" w:hAnsi="宋体" w:cs="宋体"/>
              <w:bCs/>
              <w:sz w:val="24"/>
            </w:rPr>
            <w:t>5.发明人分析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_Toc9952 \h </w:instrText>
          </w:r>
          <w:r>
            <w:rPr>
              <w:rFonts w:hint="eastAsia" w:ascii="宋体" w:hAnsi="宋体" w:cs="宋体"/>
              <w:bCs/>
              <w:sz w:val="24"/>
            </w:rPr>
            <w:fldChar w:fldCharType="separate"/>
          </w:r>
          <w:r>
            <w:rPr>
              <w:rFonts w:hint="eastAsia" w:ascii="宋体" w:hAnsi="宋体" w:cs="宋体"/>
              <w:bCs/>
              <w:sz w:val="24"/>
            </w:rPr>
            <w:t>7</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"_Toc6690" </w:instrText>
          </w:r>
          <w:r>
            <w:fldChar w:fldCharType="separate"/>
          </w:r>
          <w:r>
            <w:rPr>
              <w:rFonts w:hint="eastAsia" w:ascii="宋体" w:hAnsi="宋体" w:cs="宋体"/>
              <w:bCs/>
              <w:kern w:val="2"/>
              <w:sz w:val="24"/>
            </w:rPr>
            <w:t>6.技术领域与产业构成分析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_Toc6690 \h </w:instrText>
          </w:r>
          <w:r>
            <w:rPr>
              <w:rFonts w:hint="eastAsia" w:ascii="宋体" w:hAnsi="宋体" w:cs="宋体"/>
              <w:bCs/>
              <w:sz w:val="24"/>
            </w:rPr>
            <w:fldChar w:fldCharType="separate"/>
          </w:r>
          <w:r>
            <w:rPr>
              <w:rFonts w:hint="eastAsia" w:ascii="宋体" w:hAnsi="宋体" w:cs="宋体"/>
              <w:bCs/>
              <w:sz w:val="24"/>
            </w:rPr>
            <w:t>8</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"_Toc23978" </w:instrText>
          </w:r>
          <w:r>
            <w:fldChar w:fldCharType="separate"/>
          </w:r>
          <w:r>
            <w:rPr>
              <w:rFonts w:hint="eastAsia" w:ascii="宋体" w:hAnsi="宋体" w:cs="宋体"/>
              <w:bCs/>
              <w:sz w:val="24"/>
            </w:rPr>
            <w:t>7.申请机构分析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_Toc23978 \h </w:instrText>
          </w:r>
          <w:r>
            <w:rPr>
              <w:rFonts w:hint="eastAsia" w:ascii="宋体" w:hAnsi="宋体" w:cs="宋体"/>
              <w:bCs/>
              <w:sz w:val="24"/>
            </w:rPr>
            <w:fldChar w:fldCharType="separate"/>
          </w:r>
          <w:r>
            <w:rPr>
              <w:rFonts w:hint="eastAsia" w:ascii="宋体" w:hAnsi="宋体" w:cs="宋体"/>
              <w:bCs/>
              <w:sz w:val="24"/>
            </w:rPr>
            <w:t>9</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"_Toc29" </w:instrText>
          </w:r>
          <w:r>
            <w:fldChar w:fldCharType="separate"/>
          </w:r>
          <w:r>
            <w:rPr>
              <w:rFonts w:hint="eastAsia" w:ascii="宋体" w:hAnsi="宋体" w:cs="宋体"/>
              <w:bCs/>
              <w:sz w:val="24"/>
            </w:rPr>
            <w:t>8.代理机构分析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_Toc29 \h </w:instrText>
          </w:r>
          <w:r>
            <w:rPr>
              <w:rFonts w:hint="eastAsia" w:ascii="宋体" w:hAnsi="宋体" w:cs="宋体"/>
              <w:bCs/>
              <w:sz w:val="24"/>
            </w:rPr>
            <w:fldChar w:fldCharType="separate"/>
          </w:r>
          <w:r>
            <w:rPr>
              <w:rFonts w:hint="eastAsia" w:ascii="宋体" w:hAnsi="宋体" w:cs="宋体"/>
              <w:bCs/>
              <w:sz w:val="24"/>
            </w:rPr>
            <w:t>10</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b/>
            </w:rPr>
          </w:pPr>
          <w:r>
            <w:fldChar w:fldCharType="begin"/>
          </w:r>
          <w:r>
            <w:instrText xml:space="preserve"> HYPERLINK \l "_Toc17108" </w:instrText>
          </w:r>
          <w:r>
            <w:fldChar w:fldCharType="separate"/>
          </w:r>
          <w:r>
            <w:rPr>
              <w:rFonts w:hint="eastAsia" w:ascii="宋体" w:hAnsi="宋体" w:cs="宋体"/>
              <w:bCs/>
              <w:sz w:val="24"/>
            </w:rPr>
            <w:t>9.综合分析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_Toc17108 \h </w:instrText>
          </w:r>
          <w:r>
            <w:rPr>
              <w:rFonts w:hint="eastAsia" w:ascii="宋体" w:hAnsi="宋体" w:cs="宋体"/>
              <w:bCs/>
              <w:sz w:val="24"/>
            </w:rPr>
            <w:fldChar w:fldCharType="separate"/>
          </w:r>
          <w:r>
            <w:rPr>
              <w:rFonts w:hint="eastAsia" w:ascii="宋体" w:hAnsi="宋体" w:cs="宋体"/>
              <w:bCs/>
              <w:sz w:val="24"/>
            </w:rPr>
            <w:t>10</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rPr>
              <w:b/>
            </w:rPr>
          </w:pPr>
        </w:p>
        <w:p>
          <w:pPr>
            <w:rPr>
              <w:rFonts w:hint="default"/>
            </w:rPr>
          </w:pPr>
          <w:r>
            <w:rPr>
              <w:b/>
            </w:rPr>
            <w:fldChar w:fldCharType="end"/>
          </w:r>
        </w:p>
      </w:sdtContent>
    </w:sdt>
    <w:p>
      <w:pPr>
        <w:jc w:val="center"/>
        <w:outlineLvl w:val="0"/>
        <w:rPr>
          <w:rFonts w:hint="default" w:ascii="黑体" w:hAnsi="黑体" w:eastAsia="黑体" w:cs="黑体"/>
          <w:b/>
          <w:bCs/>
          <w:sz w:val="44"/>
          <w:szCs w:val="44"/>
        </w:rPr>
      </w:pPr>
      <w:bookmarkStart w:id="15" w:name="_Toc10867"/>
      <w:bookmarkStart w:id="16" w:name="_Toc30326"/>
      <w:bookmarkStart w:id="17" w:name="_Toc23538"/>
      <w:bookmarkStart w:id="18" w:name="_Toc32336"/>
      <w:bookmarkStart w:id="19" w:name="_Toc10613"/>
      <w:bookmarkStart w:id="20" w:name="_Toc10728"/>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r>
        <w:rPr>
          <w:rFonts w:ascii="黑体" w:hAnsi="黑体" w:eastAsia="黑体" w:cs="黑体"/>
          <w:b/>
          <w:bCs/>
          <w:sz w:val="44"/>
          <w:szCs w:val="44"/>
        </w:rPr>
        <w:t>河北科技师范学院</w:t>
      </w:r>
      <w:bookmarkEnd w:id="15"/>
      <w:bookmarkEnd w:id="16"/>
      <w:bookmarkEnd w:id="17"/>
      <w:bookmarkEnd w:id="18"/>
      <w:bookmarkEnd w:id="19"/>
      <w:bookmarkEnd w:id="20"/>
    </w:p>
    <w:p>
      <w:pPr>
        <w:jc w:val="center"/>
        <w:outlineLvl w:val="0"/>
        <w:rPr>
          <w:rFonts w:hint="default" w:ascii="黑体" w:hAnsi="黑体" w:eastAsia="黑体" w:cs="黑体"/>
          <w:b/>
          <w:bCs/>
          <w:sz w:val="44"/>
          <w:szCs w:val="44"/>
        </w:rPr>
      </w:pPr>
      <w:bookmarkStart w:id="21" w:name="_Toc23731"/>
      <w:bookmarkStart w:id="22" w:name="_Toc9198"/>
      <w:bookmarkStart w:id="23" w:name="_Toc8609"/>
      <w:bookmarkStart w:id="24" w:name="_Toc18557"/>
      <w:bookmarkStart w:id="25" w:name="_Toc23894"/>
      <w:bookmarkStart w:id="26" w:name="_Toc29920"/>
      <w:r>
        <w:rPr>
          <w:rFonts w:ascii="黑体" w:hAnsi="黑体" w:eastAsia="黑体" w:cs="黑体"/>
          <w:b/>
          <w:bCs/>
          <w:sz w:val="44"/>
          <w:szCs w:val="44"/>
        </w:rPr>
        <w:t>202</w:t>
      </w:r>
      <w:r>
        <w:rPr>
          <w:rFonts w:hint="eastAsia" w:ascii="黑体" w:hAnsi="黑体" w:eastAsia="黑体" w:cs="黑体"/>
          <w:b/>
          <w:bCs/>
          <w:sz w:val="44"/>
          <w:szCs w:val="44"/>
          <w:lang w:val="en-US" w:eastAsia="zh-CN"/>
        </w:rPr>
        <w:t>4</w:t>
      </w:r>
      <w:r>
        <w:rPr>
          <w:rFonts w:ascii="黑体" w:hAnsi="黑体" w:eastAsia="黑体" w:cs="黑体"/>
          <w:b/>
          <w:bCs/>
          <w:sz w:val="44"/>
          <w:szCs w:val="44"/>
        </w:rPr>
        <w:t>年</w:t>
      </w:r>
      <w:r>
        <w:rPr>
          <w:rFonts w:hint="eastAsia" w:ascii="黑体" w:hAnsi="黑体" w:eastAsia="黑体" w:cs="黑体"/>
          <w:b/>
          <w:bCs/>
          <w:sz w:val="44"/>
          <w:szCs w:val="44"/>
          <w:lang w:eastAsia="zh-CN"/>
        </w:rPr>
        <w:t>第</w:t>
      </w:r>
      <w:r>
        <w:rPr>
          <w:rFonts w:hint="eastAsia" w:ascii="黑体" w:hAnsi="黑体" w:eastAsia="黑体" w:cs="黑体"/>
          <w:b/>
          <w:bCs/>
          <w:sz w:val="44"/>
          <w:szCs w:val="44"/>
          <w:lang w:val="en-US" w:eastAsia="zh-CN"/>
        </w:rPr>
        <w:t>一</w:t>
      </w:r>
      <w:r>
        <w:rPr>
          <w:rFonts w:hint="eastAsia" w:ascii="黑体" w:hAnsi="黑体" w:eastAsia="黑体" w:cs="黑体"/>
          <w:b/>
          <w:bCs/>
          <w:sz w:val="44"/>
          <w:szCs w:val="44"/>
          <w:lang w:eastAsia="zh-CN"/>
        </w:rPr>
        <w:t>季度</w:t>
      </w:r>
      <w:r>
        <w:rPr>
          <w:rFonts w:ascii="黑体" w:hAnsi="黑体" w:eastAsia="黑体" w:cs="黑体"/>
          <w:b/>
          <w:bCs/>
          <w:sz w:val="44"/>
          <w:szCs w:val="44"/>
        </w:rPr>
        <w:t>专利情况统计分析报告</w:t>
      </w:r>
      <w:bookmarkEnd w:id="21"/>
      <w:bookmarkEnd w:id="22"/>
      <w:bookmarkEnd w:id="23"/>
      <w:bookmarkEnd w:id="24"/>
      <w:bookmarkEnd w:id="25"/>
      <w:bookmarkEnd w:id="26"/>
    </w:p>
    <w:p>
      <w:pPr>
        <w:rPr>
          <w:rFonts w:hint="default" w:ascii="黑体" w:hAnsi="黑体" w:eastAsia="黑体" w:cs="黑体"/>
          <w:b/>
          <w:bCs/>
          <w:sz w:val="32"/>
          <w:szCs w:val="32"/>
        </w:rPr>
      </w:pPr>
    </w:p>
    <w:p>
      <w:pPr>
        <w:outlineLvl w:val="0"/>
        <w:rPr>
          <w:rFonts w:hint="default" w:ascii="黑体" w:hAnsi="黑体" w:eastAsia="黑体" w:cs="黑体"/>
          <w:b/>
          <w:bCs/>
          <w:sz w:val="32"/>
          <w:szCs w:val="32"/>
        </w:rPr>
      </w:pPr>
      <w:bookmarkStart w:id="27" w:name="_Toc9885"/>
      <w:r>
        <w:rPr>
          <w:rFonts w:ascii="黑体" w:hAnsi="黑体" w:eastAsia="黑体" w:cs="黑体"/>
          <w:b/>
          <w:bCs/>
          <w:sz w:val="32"/>
          <w:szCs w:val="32"/>
        </w:rPr>
        <w:t>1.专利数量分析</w:t>
      </w:r>
      <w:bookmarkEnd w:id="27"/>
    </w:p>
    <w:p>
      <w:pPr>
        <w:spacing w:line="360" w:lineRule="auto"/>
        <w:ind w:firstLine="560" w:firstLineChars="200"/>
        <w:jc w:val="left"/>
        <w:rPr>
          <w:rFonts w:hint="default" w:ascii="仿宋" w:hAnsi="仿宋" w:eastAsia="仿宋" w:cs="仿宋"/>
          <w:b/>
          <w:bCs/>
          <w:sz w:val="24"/>
        </w:rPr>
      </w:pPr>
      <w:r>
        <w:rPr>
          <w:rFonts w:ascii="仿宋" w:hAnsi="仿宋" w:eastAsia="仿宋" w:cs="仿宋"/>
          <w:sz w:val="28"/>
          <w:szCs w:val="28"/>
        </w:rPr>
        <w:t>通过CNKI数据库和国家知识产权局专利检索及分析数据库检索，在</w:t>
      </w:r>
      <w:r>
        <w:rPr>
          <w:rFonts w:hint="eastAsia" w:ascii="仿宋" w:hAnsi="仿宋" w:eastAsia="仿宋" w:cs="仿宋"/>
          <w:sz w:val="28"/>
          <w:szCs w:val="28"/>
          <w:lang w:eastAsia="zh-CN"/>
        </w:rPr>
        <w:t>2024年第一季度</w:t>
      </w:r>
      <w:r>
        <w:rPr>
          <w:rFonts w:ascii="仿宋" w:hAnsi="仿宋" w:eastAsia="仿宋" w:cs="仿宋"/>
          <w:sz w:val="28"/>
          <w:szCs w:val="28"/>
        </w:rPr>
        <w:t>，以河北科技师范学院为申请人的专利公布公告</w:t>
      </w: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7</w:t>
      </w:r>
      <w:r>
        <w:rPr>
          <w:rFonts w:ascii="仿宋" w:hAnsi="仿宋" w:eastAsia="仿宋" w:cs="仿宋"/>
          <w:sz w:val="28"/>
          <w:szCs w:val="28"/>
        </w:rPr>
        <w:t>件，具体分布情况见表1。</w:t>
      </w:r>
      <w:r>
        <w:rPr>
          <w:rFonts w:hint="eastAsia" w:ascii="仿宋" w:hAnsi="仿宋" w:eastAsia="仿宋" w:cs="仿宋"/>
          <w:sz w:val="28"/>
          <w:szCs w:val="28"/>
          <w:lang w:eastAsia="zh-CN"/>
        </w:rPr>
        <w:t>2024年第一季度</w:t>
      </w:r>
      <w:r>
        <w:rPr>
          <w:rFonts w:ascii="仿宋" w:hAnsi="仿宋" w:eastAsia="仿宋" w:cs="仿宋"/>
          <w:sz w:val="28"/>
          <w:szCs w:val="28"/>
        </w:rPr>
        <w:t>，我校</w:t>
      </w:r>
      <w:r>
        <w:rPr>
          <w:rFonts w:hint="eastAsia" w:ascii="仿宋" w:hAnsi="仿宋" w:eastAsia="仿宋" w:cs="仿宋"/>
          <w:sz w:val="28"/>
          <w:szCs w:val="28"/>
          <w:lang w:val="en-US" w:eastAsia="zh-CN"/>
        </w:rPr>
        <w:t>公开</w:t>
      </w:r>
      <w:r>
        <w:rPr>
          <w:rFonts w:ascii="仿宋" w:hAnsi="仿宋" w:eastAsia="仿宋" w:cs="仿宋"/>
          <w:sz w:val="28"/>
          <w:szCs w:val="28"/>
        </w:rPr>
        <w:t>专利总体趋于</w:t>
      </w:r>
      <w:r>
        <w:rPr>
          <w:rFonts w:hint="eastAsia" w:ascii="仿宋" w:hAnsi="仿宋" w:eastAsia="仿宋" w:cs="仿宋"/>
          <w:sz w:val="28"/>
          <w:szCs w:val="28"/>
          <w:lang w:val="en-US" w:eastAsia="zh-CN"/>
        </w:rPr>
        <w:t>稳定</w:t>
      </w:r>
      <w:r>
        <w:rPr>
          <w:rFonts w:ascii="仿宋" w:hAnsi="仿宋" w:eastAsia="仿宋" w:cs="仿宋"/>
          <w:sz w:val="28"/>
          <w:szCs w:val="28"/>
        </w:rPr>
        <w:t>，202</w:t>
      </w:r>
      <w:r>
        <w:rPr>
          <w:rFonts w:hint="eastAsia" w:ascii="仿宋" w:hAnsi="仿宋" w:eastAsia="仿宋" w:cs="仿宋"/>
          <w:sz w:val="28"/>
          <w:szCs w:val="28"/>
          <w:lang w:val="en-US" w:eastAsia="zh-CN"/>
        </w:rPr>
        <w:t>4</w:t>
      </w:r>
      <w:r>
        <w:rPr>
          <w:rFonts w:ascii="仿宋" w:hAnsi="仿宋" w:eastAsia="仿宋" w:cs="仿宋"/>
          <w:sz w:val="28"/>
          <w:szCs w:val="28"/>
        </w:rPr>
        <w:t>年</w:t>
      </w:r>
      <w:r>
        <w:rPr>
          <w:rFonts w:hint="eastAsia" w:ascii="仿宋" w:hAnsi="仿宋" w:eastAsia="仿宋" w:cs="仿宋"/>
          <w:sz w:val="28"/>
          <w:szCs w:val="28"/>
          <w:lang w:val="en-US" w:eastAsia="zh-CN"/>
        </w:rPr>
        <w:t>1</w:t>
      </w:r>
      <w:r>
        <w:rPr>
          <w:rFonts w:ascii="仿宋" w:hAnsi="仿宋" w:eastAsia="仿宋" w:cs="仿宋"/>
          <w:sz w:val="28"/>
          <w:szCs w:val="28"/>
        </w:rPr>
        <w:t>月</w:t>
      </w:r>
      <w:r>
        <w:rPr>
          <w:rFonts w:hint="eastAsia" w:ascii="仿宋" w:hAnsi="仿宋" w:eastAsia="仿宋" w:cs="仿宋"/>
          <w:sz w:val="28"/>
          <w:szCs w:val="28"/>
          <w:lang w:val="en-US" w:eastAsia="zh-CN"/>
        </w:rPr>
        <w:t>公开</w:t>
      </w:r>
      <w:r>
        <w:rPr>
          <w:rFonts w:ascii="仿宋" w:hAnsi="仿宋" w:eastAsia="仿宋" w:cs="仿宋"/>
          <w:sz w:val="28"/>
          <w:szCs w:val="28"/>
        </w:rPr>
        <w:t>专利数量较多，总体趋势见图1。</w:t>
      </w:r>
    </w:p>
    <w:p>
      <w:pPr>
        <w:spacing w:line="600" w:lineRule="auto"/>
        <w:jc w:val="center"/>
        <w:rPr>
          <w:rFonts w:hint="default" w:ascii="黑体" w:hAnsi="黑体" w:eastAsia="黑体" w:cs="黑体"/>
          <w:b/>
          <w:bCs/>
          <w:sz w:val="32"/>
          <w:szCs w:val="32"/>
        </w:rPr>
      </w:pPr>
      <w:r>
        <w:rPr>
          <w:rFonts w:ascii="仿宋" w:hAnsi="仿宋" w:eastAsia="仿宋" w:cs="仿宋"/>
          <w:b/>
          <w:bCs/>
          <w:sz w:val="24"/>
        </w:rPr>
        <w:t>表1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2024年第一季度</w:t>
      </w:r>
      <w:r>
        <w:rPr>
          <w:rFonts w:ascii="仿宋" w:hAnsi="仿宋" w:eastAsia="仿宋" w:cs="仿宋"/>
          <w:b/>
          <w:bCs/>
          <w:color w:val="000000"/>
          <w:sz w:val="24"/>
          <w:lang w:bidi="ar"/>
        </w:rPr>
        <w:t>专利情况统计表</w:t>
      </w:r>
    </w:p>
    <w:tbl>
      <w:tblPr>
        <w:tblStyle w:val="8"/>
        <w:tblW w:w="4998" w:type="pct"/>
        <w:jc w:val="center"/>
        <w:tblLayout w:type="autofit"/>
        <w:tblCellMar>
          <w:top w:w="0" w:type="dxa"/>
          <w:left w:w="0" w:type="dxa"/>
          <w:bottom w:w="0" w:type="dxa"/>
          <w:right w:w="0" w:type="dxa"/>
        </w:tblCellMar>
      </w:tblPr>
      <w:tblGrid>
        <w:gridCol w:w="4419"/>
        <w:gridCol w:w="3914"/>
      </w:tblGrid>
      <w:tr>
        <w:tblPrEx>
          <w:tblCellMar>
            <w:top w:w="0" w:type="dxa"/>
            <w:left w:w="0" w:type="dxa"/>
            <w:bottom w:w="0" w:type="dxa"/>
            <w:right w:w="0" w:type="dxa"/>
          </w:tblCellMar>
        </w:tblPrEx>
        <w:trPr>
          <w:trHeight w:val="509"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公开日期</w:t>
            </w:r>
          </w:p>
        </w:tc>
        <w:tc>
          <w:tcPr>
            <w:tcW w:w="3914"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专利数量</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2024年1月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12</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2024年2月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6</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2024年3月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9</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总计</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val="en-US" w:bidi="ar"/>
              </w:rPr>
            </w:pPr>
            <w:r>
              <w:rPr>
                <w:rFonts w:hint="eastAsia" w:ascii="仿宋" w:hAnsi="仿宋" w:eastAsia="仿宋" w:cs="仿宋"/>
                <w:i w:val="0"/>
                <w:iCs w:val="0"/>
                <w:color w:val="000000"/>
                <w:kern w:val="0"/>
                <w:sz w:val="24"/>
                <w:szCs w:val="24"/>
                <w:u w:val="none"/>
                <w:lang w:val="en-US" w:eastAsia="zh-CN" w:bidi="ar"/>
              </w:rPr>
              <w:t>27</w:t>
            </w:r>
          </w:p>
        </w:tc>
      </w:tr>
    </w:tbl>
    <w:p>
      <w:pPr>
        <w:tabs>
          <w:tab w:val="left" w:pos="312"/>
        </w:tabs>
        <w:spacing w:line="600" w:lineRule="auto"/>
        <w:jc w:val="center"/>
        <w:rPr>
          <w:rFonts w:ascii="仿宋" w:hAnsi="仿宋" w:eastAsia="仿宋" w:cs="仿宋"/>
          <w:b/>
          <w:bCs/>
          <w:color w:val="000000"/>
          <w:sz w:val="24"/>
          <w:lang w:bidi="ar"/>
        </w:rPr>
      </w:pPr>
      <w:r>
        <w:rPr>
          <w:rFonts w:ascii="仿宋" w:hAnsi="仿宋" w:eastAsia="仿宋" w:cs="仿宋"/>
          <w:b/>
          <w:bCs/>
          <w:sz w:val="24"/>
        </w:rPr>
        <w:t>图1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2024年第一季度</w:t>
      </w:r>
      <w:r>
        <w:rPr>
          <w:rFonts w:ascii="仿宋" w:hAnsi="仿宋" w:eastAsia="仿宋" w:cs="仿宋"/>
          <w:b/>
          <w:bCs/>
          <w:color w:val="000000"/>
          <w:sz w:val="24"/>
          <w:lang w:bidi="ar"/>
        </w:rPr>
        <w:t>专利总体趋势</w:t>
      </w:r>
    </w:p>
    <w:p>
      <w:pPr>
        <w:tabs>
          <w:tab w:val="left" w:pos="312"/>
        </w:tabs>
        <w:spacing w:line="600" w:lineRule="auto"/>
        <w:jc w:val="center"/>
        <w:rPr>
          <w:rFonts w:ascii="仿宋" w:hAnsi="仿宋" w:eastAsia="仿宋" w:cs="仿宋"/>
          <w:b/>
          <w:bCs/>
          <w:color w:val="000000"/>
          <w:sz w:val="24"/>
          <w:lang w:bidi="ar"/>
        </w:rPr>
      </w:pPr>
      <w:r>
        <w:drawing>
          <wp:inline distT="0" distB="0" distL="114300" distR="114300">
            <wp:extent cx="4826000" cy="2743200"/>
            <wp:effectExtent l="4445" t="4445" r="8255" b="14605"/>
            <wp:docPr id="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tabs>
          <w:tab w:val="left" w:pos="312"/>
        </w:tabs>
        <w:jc w:val="center"/>
        <w:rPr>
          <w:rFonts w:hint="default" w:ascii="仿宋" w:hAnsi="仿宋" w:eastAsia="仿宋" w:cs="仿宋"/>
          <w:b/>
          <w:bCs/>
          <w:color w:val="000000"/>
          <w:sz w:val="24"/>
          <w:lang w:bidi="ar"/>
        </w:rPr>
      </w:pPr>
    </w:p>
    <w:p>
      <w:pPr>
        <w:tabs>
          <w:tab w:val="left" w:pos="312"/>
        </w:tabs>
        <w:jc w:val="both"/>
        <w:rPr>
          <w:rFonts w:hint="default" w:ascii="黑体" w:hAnsi="黑体" w:eastAsia="黑体" w:cs="黑体"/>
          <w:b/>
          <w:bCs/>
          <w:sz w:val="32"/>
          <w:szCs w:val="32"/>
        </w:rPr>
      </w:pPr>
      <w:bookmarkStart w:id="28" w:name="_Toc6255"/>
      <w:r>
        <w:rPr>
          <w:rFonts w:ascii="黑体" w:hAnsi="黑体" w:eastAsia="黑体" w:cs="黑体"/>
          <w:b/>
          <w:bCs/>
          <w:sz w:val="32"/>
          <w:szCs w:val="32"/>
        </w:rPr>
        <w:t>2.专利类别分析</w:t>
      </w:r>
      <w:bookmarkEnd w:id="28"/>
    </w:p>
    <w:p>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2024年第一季度</w:t>
      </w:r>
      <w:r>
        <w:rPr>
          <w:rFonts w:ascii="仿宋" w:hAnsi="仿宋" w:eastAsia="仿宋" w:cs="仿宋"/>
          <w:sz w:val="28"/>
          <w:szCs w:val="28"/>
        </w:rPr>
        <w:t>我校公布公告的专利类别，发明公开专利1</w:t>
      </w:r>
      <w:r>
        <w:rPr>
          <w:rFonts w:hint="eastAsia" w:ascii="仿宋" w:hAnsi="仿宋" w:eastAsia="仿宋" w:cs="仿宋"/>
          <w:sz w:val="28"/>
          <w:szCs w:val="28"/>
          <w:lang w:val="en-US" w:eastAsia="zh-CN"/>
        </w:rPr>
        <w:t>4</w:t>
      </w:r>
      <w:r>
        <w:rPr>
          <w:rFonts w:ascii="仿宋" w:hAnsi="仿宋" w:eastAsia="仿宋" w:cs="仿宋"/>
          <w:sz w:val="28"/>
          <w:szCs w:val="28"/>
        </w:rPr>
        <w:t>件，发明授权专利</w:t>
      </w:r>
      <w:r>
        <w:rPr>
          <w:rFonts w:hint="eastAsia" w:ascii="仿宋" w:hAnsi="仿宋" w:eastAsia="仿宋" w:cs="仿宋"/>
          <w:sz w:val="28"/>
          <w:szCs w:val="28"/>
          <w:lang w:val="en-US" w:eastAsia="zh-CN"/>
        </w:rPr>
        <w:t>10</w:t>
      </w:r>
      <w:r>
        <w:rPr>
          <w:rFonts w:ascii="仿宋" w:hAnsi="仿宋" w:eastAsia="仿宋" w:cs="仿宋"/>
          <w:sz w:val="28"/>
          <w:szCs w:val="28"/>
        </w:rPr>
        <w:t>件，实用新型专利</w:t>
      </w:r>
      <w:r>
        <w:rPr>
          <w:rFonts w:hint="eastAsia" w:ascii="仿宋" w:hAnsi="仿宋" w:eastAsia="仿宋" w:cs="仿宋"/>
          <w:sz w:val="28"/>
          <w:szCs w:val="28"/>
          <w:lang w:val="en-US" w:eastAsia="zh-CN"/>
        </w:rPr>
        <w:t>3</w:t>
      </w:r>
      <w:r>
        <w:rPr>
          <w:rFonts w:ascii="仿宋" w:hAnsi="仿宋" w:eastAsia="仿宋" w:cs="仿宋"/>
          <w:sz w:val="28"/>
          <w:szCs w:val="28"/>
        </w:rPr>
        <w:t>件。我校</w:t>
      </w:r>
      <w:r>
        <w:rPr>
          <w:rFonts w:hint="eastAsia" w:ascii="仿宋" w:hAnsi="仿宋" w:eastAsia="仿宋" w:cs="仿宋"/>
          <w:sz w:val="28"/>
          <w:szCs w:val="28"/>
          <w:lang w:eastAsia="zh-CN"/>
        </w:rPr>
        <w:t>2024年第一季度</w:t>
      </w:r>
      <w:r>
        <w:rPr>
          <w:rFonts w:ascii="仿宋" w:hAnsi="仿宋" w:eastAsia="仿宋" w:cs="仿宋"/>
          <w:sz w:val="28"/>
          <w:szCs w:val="28"/>
        </w:rPr>
        <w:t>专利类别主要集中在发明专利上，占比</w:t>
      </w:r>
      <w:r>
        <w:rPr>
          <w:rFonts w:hint="eastAsia" w:ascii="仿宋" w:hAnsi="仿宋" w:eastAsia="仿宋" w:cs="仿宋"/>
          <w:sz w:val="28"/>
          <w:szCs w:val="28"/>
          <w:lang w:val="en-US" w:eastAsia="zh-CN"/>
        </w:rPr>
        <w:t>88.89</w:t>
      </w:r>
      <w:r>
        <w:rPr>
          <w:rFonts w:ascii="仿宋" w:hAnsi="仿宋" w:eastAsia="仿宋" w:cs="仿宋"/>
          <w:sz w:val="28"/>
          <w:szCs w:val="28"/>
        </w:rPr>
        <w:t>%，说明我校专利创新水平较高，研发能力也比较强，具体情况参见图2。</w:t>
      </w:r>
    </w:p>
    <w:p>
      <w:pPr>
        <w:spacing w:line="600" w:lineRule="auto"/>
        <w:ind w:firstLine="482" w:firstLineChars="200"/>
        <w:jc w:val="center"/>
        <w:rPr>
          <w:rFonts w:ascii="仿宋" w:hAnsi="仿宋" w:eastAsia="仿宋" w:cs="仿宋"/>
          <w:b/>
          <w:bCs/>
          <w:color w:val="000000"/>
          <w:sz w:val="24"/>
          <w:lang w:bidi="ar"/>
        </w:rPr>
      </w:pPr>
      <w:r>
        <w:rPr>
          <w:rFonts w:ascii="仿宋" w:hAnsi="仿宋" w:eastAsia="仿宋" w:cs="仿宋"/>
          <w:b/>
          <w:bCs/>
          <w:sz w:val="24"/>
        </w:rPr>
        <w:t>图2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2024年第一季度</w:t>
      </w:r>
      <w:r>
        <w:rPr>
          <w:rFonts w:ascii="仿宋" w:hAnsi="仿宋" w:eastAsia="仿宋" w:cs="仿宋"/>
          <w:b/>
          <w:bCs/>
          <w:color w:val="000000"/>
          <w:sz w:val="24"/>
          <w:lang w:bidi="ar"/>
        </w:rPr>
        <w:t>专利类别分布</w:t>
      </w:r>
    </w:p>
    <w:p>
      <w:pPr>
        <w:spacing w:line="600" w:lineRule="auto"/>
        <w:ind w:firstLine="420" w:firstLineChars="200"/>
        <w:jc w:val="center"/>
        <w:rPr>
          <w:rFonts w:hint="default" w:ascii="仿宋" w:hAnsi="仿宋" w:eastAsia="仿宋" w:cs="仿宋"/>
          <w:b/>
          <w:bCs/>
          <w:color w:val="000000"/>
          <w:sz w:val="24"/>
          <w:lang w:bidi="ar"/>
        </w:rPr>
      </w:pPr>
      <w:r>
        <w:drawing>
          <wp:inline distT="0" distB="0" distL="114300" distR="114300">
            <wp:extent cx="4826000" cy="2743200"/>
            <wp:effectExtent l="4445" t="4445" r="8255" b="14605"/>
            <wp:docPr id="1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360" w:lineRule="auto"/>
        <w:jc w:val="both"/>
        <w:outlineLvl w:val="0"/>
        <w:rPr>
          <w:rFonts w:hint="default" w:ascii="黑体" w:hAnsi="黑体" w:eastAsia="黑体" w:cs="黑体"/>
          <w:b/>
          <w:bCs/>
          <w:sz w:val="32"/>
          <w:szCs w:val="32"/>
        </w:rPr>
      </w:pPr>
      <w:bookmarkStart w:id="29" w:name="_Toc12539"/>
    </w:p>
    <w:p>
      <w:pPr>
        <w:outlineLvl w:val="0"/>
        <w:rPr>
          <w:rFonts w:hint="default" w:ascii="黑体" w:hAnsi="黑体" w:eastAsia="黑体" w:cs="黑体"/>
          <w:b/>
          <w:bCs/>
          <w:sz w:val="32"/>
          <w:szCs w:val="32"/>
        </w:rPr>
      </w:pPr>
      <w:r>
        <w:rPr>
          <w:rFonts w:ascii="黑体" w:hAnsi="黑体" w:eastAsia="黑体" w:cs="黑体"/>
          <w:b/>
          <w:bCs/>
          <w:sz w:val="32"/>
          <w:szCs w:val="32"/>
        </w:rPr>
        <w:t>3.学科分析</w:t>
      </w:r>
      <w:bookmarkEnd w:id="29"/>
    </w:p>
    <w:p>
      <w:pPr>
        <w:ind w:firstLine="560" w:firstLineChars="200"/>
        <w:rPr>
          <w:rFonts w:hint="default"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2024年第一季度</w:t>
      </w:r>
      <w:r>
        <w:rPr>
          <w:rFonts w:ascii="仿宋" w:hAnsi="仿宋" w:eastAsia="仿宋" w:cs="仿宋"/>
          <w:sz w:val="28"/>
          <w:szCs w:val="28"/>
        </w:rPr>
        <w:t>我校公布公告的专利学科关系，占比较多的学科有：轻工业手工业</w:t>
      </w:r>
      <w:r>
        <w:rPr>
          <w:rFonts w:hint="eastAsia" w:ascii="仿宋" w:hAnsi="仿宋" w:eastAsia="仿宋" w:cs="仿宋"/>
          <w:sz w:val="28"/>
          <w:szCs w:val="28"/>
          <w:lang w:val="en-US" w:eastAsia="zh-CN"/>
        </w:rPr>
        <w:t>6件，化学、生物学4件</w:t>
      </w:r>
      <w:r>
        <w:rPr>
          <w:rFonts w:ascii="仿宋" w:hAnsi="仿宋" w:eastAsia="仿宋" w:cs="仿宋"/>
          <w:sz w:val="28"/>
          <w:szCs w:val="28"/>
        </w:rPr>
        <w:t>，</w:t>
      </w:r>
      <w:r>
        <w:rPr>
          <w:rFonts w:hint="eastAsia" w:ascii="仿宋" w:hAnsi="仿宋" w:eastAsia="仿宋" w:cs="仿宋"/>
          <w:sz w:val="28"/>
          <w:szCs w:val="28"/>
          <w:lang w:val="en-US" w:eastAsia="zh-CN"/>
        </w:rPr>
        <w:t>植物保护3件，</w:t>
      </w:r>
      <w:r>
        <w:rPr>
          <w:rFonts w:ascii="仿宋" w:hAnsi="仿宋" w:eastAsia="仿宋" w:cs="仿宋"/>
          <w:sz w:val="28"/>
          <w:szCs w:val="28"/>
        </w:rPr>
        <w:t>具体详情参见图3。</w:t>
      </w:r>
    </w:p>
    <w:p>
      <w:pPr>
        <w:jc w:val="center"/>
        <w:rPr>
          <w:rFonts w:hint="default" w:ascii="仿宋" w:hAnsi="仿宋" w:eastAsia="仿宋" w:cs="仿宋"/>
          <w:b/>
          <w:bCs/>
          <w:sz w:val="24"/>
        </w:rPr>
      </w:pPr>
    </w:p>
    <w:p>
      <w:pPr>
        <w:jc w:val="center"/>
        <w:rPr>
          <w:rFonts w:hint="default" w:ascii="仿宋" w:hAnsi="仿宋" w:eastAsia="仿宋" w:cs="仿宋"/>
          <w:b/>
          <w:bCs/>
          <w:sz w:val="24"/>
        </w:rPr>
      </w:pPr>
    </w:p>
    <w:p>
      <w:pPr>
        <w:jc w:val="center"/>
        <w:rPr>
          <w:rFonts w:hint="default" w:ascii="仿宋" w:hAnsi="仿宋" w:eastAsia="仿宋" w:cs="仿宋"/>
          <w:b/>
          <w:bCs/>
          <w:sz w:val="24"/>
        </w:rPr>
      </w:pPr>
    </w:p>
    <w:p>
      <w:pPr>
        <w:rPr>
          <w:rFonts w:hint="default" w:ascii="仿宋" w:hAnsi="仿宋" w:eastAsia="仿宋" w:cs="仿宋"/>
          <w:b/>
          <w:bCs/>
          <w:sz w:val="24"/>
        </w:rPr>
      </w:pPr>
    </w:p>
    <w:p>
      <w:pPr>
        <w:ind w:firstLine="1205" w:firstLineChars="500"/>
        <w:rPr>
          <w:rFonts w:ascii="仿宋" w:hAnsi="仿宋" w:eastAsia="仿宋" w:cs="仿宋"/>
          <w:b/>
          <w:bCs/>
          <w:sz w:val="24"/>
        </w:rPr>
      </w:pPr>
    </w:p>
    <w:p>
      <w:pPr>
        <w:rPr>
          <w:rFonts w:ascii="仿宋" w:hAnsi="仿宋" w:eastAsia="仿宋" w:cs="仿宋"/>
          <w:b/>
          <w:bCs/>
          <w:sz w:val="24"/>
        </w:rPr>
      </w:pPr>
    </w:p>
    <w:p>
      <w:pPr>
        <w:spacing w:line="720" w:lineRule="auto"/>
        <w:ind w:firstLine="1205" w:firstLineChars="500"/>
        <w:rPr>
          <w:rFonts w:ascii="仿宋" w:hAnsi="仿宋" w:eastAsia="仿宋" w:cs="仿宋"/>
          <w:b/>
          <w:bCs/>
          <w:sz w:val="24"/>
        </w:rPr>
      </w:pPr>
    </w:p>
    <w:p>
      <w:pPr>
        <w:spacing w:line="600" w:lineRule="auto"/>
        <w:ind w:firstLine="1205" w:firstLineChars="500"/>
        <w:rPr>
          <w:rFonts w:hint="eastAsia" w:ascii="仿宋" w:hAnsi="仿宋" w:eastAsia="仿宋" w:cs="仿宋"/>
          <w:b/>
          <w:bCs/>
          <w:color w:val="000000"/>
          <w:sz w:val="24"/>
          <w:lang w:val="en-US" w:eastAsia="zh-CN" w:bidi="ar"/>
        </w:rPr>
      </w:pPr>
      <w:r>
        <w:rPr>
          <w:rFonts w:ascii="仿宋" w:hAnsi="仿宋" w:eastAsia="仿宋" w:cs="仿宋"/>
          <w:b/>
          <w:bCs/>
          <w:sz w:val="24"/>
        </w:rPr>
        <w:t>图3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2024年第一季度</w:t>
      </w:r>
      <w:r>
        <w:rPr>
          <w:rFonts w:ascii="仿宋" w:hAnsi="仿宋" w:eastAsia="仿宋" w:cs="仿宋"/>
          <w:b/>
          <w:bCs/>
          <w:color w:val="000000"/>
          <w:sz w:val="24"/>
          <w:lang w:bidi="ar"/>
        </w:rPr>
        <w:t>专利学科分布</w:t>
      </w:r>
      <w:r>
        <w:rPr>
          <w:rFonts w:hint="eastAsia" w:ascii="仿宋" w:hAnsi="仿宋" w:eastAsia="仿宋" w:cs="仿宋"/>
          <w:b/>
          <w:bCs/>
          <w:color w:val="000000"/>
          <w:sz w:val="24"/>
          <w:lang w:val="en-US" w:eastAsia="zh-CN" w:bidi="ar"/>
        </w:rPr>
        <w:t xml:space="preserve"> </w:t>
      </w:r>
    </w:p>
    <w:p>
      <w:pPr>
        <w:spacing w:line="600" w:lineRule="auto"/>
        <w:jc w:val="center"/>
        <w:rPr>
          <w:rFonts w:hint="eastAsia" w:ascii="仿宋" w:hAnsi="仿宋" w:eastAsia="仿宋" w:cs="仿宋"/>
          <w:b/>
          <w:bCs/>
          <w:color w:val="000000"/>
          <w:sz w:val="24"/>
          <w:lang w:val="en-US" w:eastAsia="zh-CN" w:bidi="ar"/>
        </w:rPr>
      </w:pPr>
      <w:r>
        <w:drawing>
          <wp:inline distT="0" distB="0" distL="114300" distR="114300">
            <wp:extent cx="4826000" cy="2743200"/>
            <wp:effectExtent l="4445" t="4445" r="8255" b="14605"/>
            <wp:docPr id="1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outlineLvl w:val="0"/>
        <w:rPr>
          <w:rFonts w:ascii="黑体" w:hAnsi="黑体" w:eastAsia="黑体" w:cs="黑体"/>
          <w:b/>
          <w:bCs/>
          <w:sz w:val="32"/>
          <w:szCs w:val="32"/>
        </w:rPr>
      </w:pPr>
      <w:bookmarkStart w:id="30" w:name="_Toc18240"/>
    </w:p>
    <w:p>
      <w:pPr>
        <w:outlineLvl w:val="0"/>
        <w:rPr>
          <w:rFonts w:hint="default" w:ascii="黑体" w:hAnsi="黑体" w:eastAsia="黑体" w:cs="黑体"/>
          <w:b/>
          <w:bCs/>
          <w:sz w:val="32"/>
          <w:szCs w:val="32"/>
        </w:rPr>
      </w:pPr>
      <w:r>
        <w:rPr>
          <w:rFonts w:ascii="黑体" w:hAnsi="黑体" w:eastAsia="黑体" w:cs="黑体"/>
          <w:b/>
          <w:bCs/>
          <w:sz w:val="32"/>
          <w:szCs w:val="32"/>
        </w:rPr>
        <w:t>4.主题词分析</w:t>
      </w:r>
      <w:bookmarkEnd w:id="30"/>
    </w:p>
    <w:p>
      <w:pPr>
        <w:ind w:firstLine="560" w:firstLineChars="200"/>
        <w:rPr>
          <w:rFonts w:hint="default"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2024年第一季度</w:t>
      </w:r>
      <w:r>
        <w:rPr>
          <w:rFonts w:ascii="仿宋" w:hAnsi="仿宋" w:eastAsia="仿宋" w:cs="仿宋"/>
          <w:sz w:val="28"/>
          <w:szCs w:val="28"/>
        </w:rPr>
        <w:t>我校公布公告的专利主题词，主要主题词中</w:t>
      </w:r>
      <w:r>
        <w:rPr>
          <w:rFonts w:hint="eastAsia" w:ascii="仿宋" w:hAnsi="仿宋" w:eastAsia="仿宋" w:cs="仿宋"/>
          <w:sz w:val="28"/>
          <w:szCs w:val="28"/>
          <w:lang w:val="en-US" w:eastAsia="zh-CN"/>
        </w:rPr>
        <w:t>制备方法、筛选方法、钢板剪力墙、发酵菌种</w:t>
      </w:r>
      <w:r>
        <w:rPr>
          <w:rFonts w:ascii="仿宋" w:hAnsi="仿宋" w:eastAsia="仿宋" w:cs="仿宋"/>
          <w:sz w:val="28"/>
          <w:szCs w:val="28"/>
        </w:rPr>
        <w:t>等主题词出现频率较高。次要主题词中</w:t>
      </w:r>
      <w:r>
        <w:rPr>
          <w:rFonts w:hint="eastAsia" w:ascii="仿宋" w:hAnsi="仿宋" w:eastAsia="仿宋" w:cs="仿宋"/>
          <w:sz w:val="28"/>
          <w:szCs w:val="28"/>
          <w:lang w:val="en-US" w:eastAsia="zh-CN"/>
        </w:rPr>
        <w:t>固定连接、提取液、体积浓度等</w:t>
      </w:r>
      <w:r>
        <w:rPr>
          <w:rFonts w:ascii="仿宋" w:hAnsi="仿宋" w:eastAsia="仿宋" w:cs="仿宋"/>
          <w:sz w:val="28"/>
          <w:szCs w:val="28"/>
        </w:rPr>
        <w:t>主题词出现频率较高。下图列举频次较高的主要主题词和次要主题词，具体分布参见图4和图5。</w:t>
      </w:r>
    </w:p>
    <w:p>
      <w:pPr>
        <w:spacing w:line="600" w:lineRule="auto"/>
        <w:jc w:val="center"/>
        <w:rPr>
          <w:rFonts w:ascii="仿宋" w:hAnsi="仿宋" w:eastAsia="仿宋" w:cs="仿宋"/>
          <w:b/>
          <w:bCs/>
          <w:sz w:val="24"/>
        </w:rPr>
      </w:pPr>
    </w:p>
    <w:p>
      <w:pPr>
        <w:spacing w:line="600" w:lineRule="auto"/>
        <w:jc w:val="center"/>
        <w:rPr>
          <w:rFonts w:ascii="仿宋" w:hAnsi="仿宋" w:eastAsia="仿宋" w:cs="仿宋"/>
          <w:b/>
          <w:bCs/>
          <w:sz w:val="24"/>
        </w:rPr>
      </w:pPr>
    </w:p>
    <w:p>
      <w:pPr>
        <w:spacing w:line="600" w:lineRule="auto"/>
        <w:jc w:val="center"/>
        <w:rPr>
          <w:rFonts w:ascii="仿宋" w:hAnsi="仿宋" w:eastAsia="仿宋" w:cs="仿宋"/>
          <w:b/>
          <w:bCs/>
          <w:sz w:val="24"/>
        </w:rPr>
      </w:pPr>
    </w:p>
    <w:p>
      <w:pPr>
        <w:spacing w:line="600" w:lineRule="auto"/>
        <w:jc w:val="center"/>
        <w:rPr>
          <w:rFonts w:ascii="仿宋" w:hAnsi="仿宋" w:eastAsia="仿宋" w:cs="仿宋"/>
          <w:b/>
          <w:bCs/>
          <w:sz w:val="24"/>
        </w:rPr>
      </w:pPr>
    </w:p>
    <w:p>
      <w:pPr>
        <w:spacing w:line="600" w:lineRule="auto"/>
        <w:jc w:val="center"/>
        <w:rPr>
          <w:rFonts w:ascii="仿宋" w:hAnsi="仿宋" w:eastAsia="仿宋" w:cs="仿宋"/>
          <w:b/>
          <w:bCs/>
          <w:sz w:val="24"/>
        </w:rPr>
      </w:pPr>
    </w:p>
    <w:p>
      <w:pPr>
        <w:spacing w:line="600" w:lineRule="auto"/>
        <w:jc w:val="center"/>
        <w:rPr>
          <w:rFonts w:ascii="仿宋" w:hAnsi="仿宋" w:eastAsia="仿宋" w:cs="仿宋"/>
          <w:b/>
          <w:bCs/>
          <w:color w:val="000000"/>
          <w:sz w:val="24"/>
          <w:lang w:bidi="ar"/>
        </w:rPr>
      </w:pPr>
      <w:r>
        <w:rPr>
          <w:rFonts w:ascii="仿宋" w:hAnsi="仿宋" w:eastAsia="仿宋" w:cs="仿宋"/>
          <w:b/>
          <w:bCs/>
          <w:sz w:val="24"/>
        </w:rPr>
        <w:t>图4</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2024年第一季度</w:t>
      </w:r>
      <w:r>
        <w:rPr>
          <w:rFonts w:ascii="仿宋" w:hAnsi="仿宋" w:eastAsia="仿宋" w:cs="仿宋"/>
          <w:b/>
          <w:bCs/>
          <w:color w:val="000000"/>
          <w:sz w:val="24"/>
          <w:lang w:bidi="ar"/>
        </w:rPr>
        <w:t>主要主题词分布</w:t>
      </w:r>
    </w:p>
    <w:p>
      <w:pPr>
        <w:spacing w:line="600" w:lineRule="auto"/>
        <w:jc w:val="center"/>
      </w:pPr>
      <w:r>
        <w:drawing>
          <wp:inline distT="0" distB="0" distL="114300" distR="114300">
            <wp:extent cx="4782820" cy="2764155"/>
            <wp:effectExtent l="4445" t="4445" r="13335" b="12700"/>
            <wp:docPr id="19"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600" w:lineRule="auto"/>
        <w:jc w:val="center"/>
        <w:rPr>
          <w:rFonts w:ascii="仿宋" w:hAnsi="仿宋" w:eastAsia="仿宋" w:cs="仿宋"/>
          <w:b/>
          <w:bCs/>
          <w:color w:val="000000"/>
          <w:sz w:val="24"/>
          <w:lang w:bidi="ar"/>
        </w:rPr>
      </w:pPr>
      <w:r>
        <w:rPr>
          <w:rFonts w:ascii="仿宋" w:hAnsi="仿宋" w:eastAsia="仿宋" w:cs="仿宋"/>
          <w:b/>
          <w:bCs/>
          <w:sz w:val="24"/>
        </w:rPr>
        <w:t>图5</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2024年第一季度</w:t>
      </w:r>
      <w:r>
        <w:rPr>
          <w:rFonts w:ascii="仿宋" w:hAnsi="仿宋" w:eastAsia="仿宋" w:cs="仿宋"/>
          <w:b/>
          <w:bCs/>
          <w:color w:val="000000"/>
          <w:sz w:val="24"/>
          <w:lang w:bidi="ar"/>
        </w:rPr>
        <w:t>次要主题词分布</w:t>
      </w:r>
    </w:p>
    <w:p>
      <w:pPr>
        <w:spacing w:line="600" w:lineRule="auto"/>
        <w:jc w:val="center"/>
        <w:rPr>
          <w:rFonts w:hint="default" w:ascii="仿宋" w:hAnsi="仿宋" w:eastAsia="仿宋" w:cs="仿宋"/>
          <w:b/>
          <w:bCs/>
          <w:color w:val="000000"/>
          <w:sz w:val="24"/>
          <w:lang w:bidi="ar"/>
        </w:rPr>
      </w:pPr>
      <w:r>
        <w:drawing>
          <wp:inline distT="0" distB="0" distL="114300" distR="114300">
            <wp:extent cx="4826000" cy="2743200"/>
            <wp:effectExtent l="4445" t="4445" r="8255" b="14605"/>
            <wp:docPr id="20"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rPr>
          <w:rFonts w:hint="default" w:ascii="黑体" w:hAnsi="黑体" w:eastAsia="黑体" w:cs="黑体"/>
          <w:b/>
          <w:bCs/>
          <w:sz w:val="32"/>
          <w:szCs w:val="32"/>
        </w:rPr>
      </w:pPr>
    </w:p>
    <w:p>
      <w:pPr>
        <w:outlineLvl w:val="0"/>
        <w:rPr>
          <w:rFonts w:hint="default" w:ascii="黑体" w:hAnsi="黑体" w:eastAsia="黑体" w:cs="黑体"/>
          <w:b/>
          <w:bCs/>
          <w:sz w:val="32"/>
          <w:szCs w:val="32"/>
        </w:rPr>
      </w:pPr>
      <w:bookmarkStart w:id="31" w:name="_Toc9952"/>
      <w:r>
        <w:rPr>
          <w:rFonts w:ascii="黑体" w:hAnsi="黑体" w:eastAsia="黑体" w:cs="黑体"/>
          <w:b/>
          <w:bCs/>
          <w:sz w:val="32"/>
          <w:szCs w:val="32"/>
        </w:rPr>
        <w:t>5.发明人分析</w:t>
      </w:r>
      <w:bookmarkEnd w:id="31"/>
      <w:r>
        <w:rPr>
          <w:rFonts w:ascii="黑体" w:hAnsi="黑体" w:eastAsia="黑体" w:cs="黑体"/>
          <w:sz w:val="32"/>
          <w:szCs w:val="32"/>
        </w:rPr>
        <w:t>（含合作者）</w:t>
      </w:r>
    </w:p>
    <w:p>
      <w:pPr>
        <w:adjustRightInd/>
        <w:spacing w:line="240" w:lineRule="atLeast"/>
        <w:ind w:firstLine="560" w:firstLineChars="200"/>
        <w:rPr>
          <w:rFonts w:hint="default"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2024年第一季度</w:t>
      </w:r>
      <w:r>
        <w:rPr>
          <w:rFonts w:ascii="仿宋" w:hAnsi="仿宋" w:eastAsia="仿宋" w:cs="仿宋"/>
          <w:sz w:val="28"/>
          <w:szCs w:val="28"/>
        </w:rPr>
        <w:t>我校公布公告的专利发明人，</w:t>
      </w:r>
      <w:r>
        <w:rPr>
          <w:rFonts w:hint="default" w:ascii="仿宋" w:hAnsi="仿宋" w:eastAsia="仿宋" w:cs="仿宋"/>
          <w:sz w:val="28"/>
          <w:szCs w:val="28"/>
        </w:rPr>
        <w:t>参与</w:t>
      </w:r>
      <w:r>
        <w:rPr>
          <w:rFonts w:hint="eastAsia" w:ascii="仿宋" w:hAnsi="仿宋" w:eastAsia="仿宋" w:cs="仿宋"/>
          <w:color w:val="000000"/>
          <w:sz w:val="28"/>
          <w:szCs w:val="28"/>
          <w:lang w:val="en-US" w:eastAsia="zh-CN" w:bidi="ar"/>
        </w:rPr>
        <w:t>两</w:t>
      </w:r>
      <w:r>
        <w:rPr>
          <w:rFonts w:hint="default" w:ascii="仿宋" w:hAnsi="仿宋" w:eastAsia="仿宋" w:cs="仿宋"/>
          <w:sz w:val="28"/>
          <w:szCs w:val="28"/>
        </w:rPr>
        <w:t>件专利以上的</w:t>
      </w:r>
      <w:r>
        <w:rPr>
          <w:rFonts w:ascii="仿宋" w:hAnsi="仿宋" w:eastAsia="仿宋" w:cs="仿宋"/>
          <w:sz w:val="28"/>
          <w:szCs w:val="28"/>
        </w:rPr>
        <w:t>发明人</w:t>
      </w:r>
      <w:r>
        <w:rPr>
          <w:rFonts w:hint="default" w:ascii="仿宋" w:hAnsi="仿宋" w:eastAsia="仿宋" w:cs="仿宋"/>
          <w:sz w:val="28"/>
          <w:szCs w:val="28"/>
        </w:rPr>
        <w:t>有</w:t>
      </w:r>
      <w:r>
        <w:rPr>
          <w:rFonts w:hint="eastAsia" w:ascii="仿宋" w:hAnsi="仿宋" w:eastAsia="仿宋" w:cs="仿宋"/>
          <w:sz w:val="28"/>
          <w:szCs w:val="28"/>
          <w:lang w:val="en-US" w:eastAsia="zh-CN"/>
        </w:rPr>
        <w:t>21</w:t>
      </w:r>
      <w:r>
        <w:rPr>
          <w:rFonts w:hint="default" w:ascii="仿宋" w:hAnsi="仿宋" w:eastAsia="仿宋" w:cs="仿宋"/>
          <w:sz w:val="28"/>
          <w:szCs w:val="28"/>
        </w:rPr>
        <w:t>人</w:t>
      </w:r>
      <w:r>
        <w:rPr>
          <w:rFonts w:ascii="仿宋" w:hAnsi="仿宋" w:eastAsia="仿宋" w:cs="仿宋"/>
          <w:sz w:val="28"/>
          <w:szCs w:val="28"/>
        </w:rPr>
        <w:t>，具体情况参见表2。</w:t>
      </w:r>
    </w:p>
    <w:p>
      <w:pPr>
        <w:adjustRightInd/>
        <w:spacing w:line="600" w:lineRule="auto"/>
        <w:jc w:val="center"/>
        <w:rPr>
          <w:rFonts w:ascii="仿宋" w:hAnsi="仿宋" w:eastAsia="仿宋" w:cs="仿宋"/>
          <w:b/>
          <w:bCs/>
          <w:sz w:val="24"/>
        </w:rPr>
      </w:pPr>
    </w:p>
    <w:p>
      <w:pPr>
        <w:adjustRightInd/>
        <w:spacing w:line="600" w:lineRule="auto"/>
        <w:jc w:val="center"/>
        <w:rPr>
          <w:rFonts w:hint="default" w:ascii="仿宋" w:hAnsi="仿宋" w:eastAsia="仿宋" w:cs="仿宋"/>
          <w:b/>
          <w:bCs/>
          <w:color w:val="000000"/>
          <w:sz w:val="24"/>
          <w:lang w:bidi="ar"/>
        </w:rPr>
      </w:pPr>
      <w:r>
        <w:rPr>
          <w:rFonts w:ascii="仿宋" w:hAnsi="仿宋" w:eastAsia="仿宋" w:cs="仿宋"/>
          <w:b/>
          <w:bCs/>
          <w:sz w:val="24"/>
        </w:rPr>
        <w:t>表2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2024年第一季度</w:t>
      </w:r>
      <w:r>
        <w:rPr>
          <w:rFonts w:ascii="仿宋" w:hAnsi="仿宋" w:eastAsia="仿宋" w:cs="仿宋"/>
          <w:b/>
          <w:bCs/>
          <w:color w:val="000000"/>
          <w:sz w:val="24"/>
          <w:lang w:bidi="ar"/>
        </w:rPr>
        <w:t>专利发明人统计表</w:t>
      </w:r>
    </w:p>
    <w:tbl>
      <w:tblPr>
        <w:tblStyle w:val="8"/>
        <w:tblW w:w="4998" w:type="pct"/>
        <w:jc w:val="center"/>
        <w:tblLayout w:type="autofit"/>
        <w:tblCellMar>
          <w:top w:w="0" w:type="dxa"/>
          <w:left w:w="0" w:type="dxa"/>
          <w:bottom w:w="0" w:type="dxa"/>
          <w:right w:w="0" w:type="dxa"/>
        </w:tblCellMar>
      </w:tblPr>
      <w:tblGrid>
        <w:gridCol w:w="1069"/>
        <w:gridCol w:w="1636"/>
        <w:gridCol w:w="1395"/>
        <w:gridCol w:w="1199"/>
        <w:gridCol w:w="1642"/>
        <w:gridCol w:w="1392"/>
      </w:tblGrid>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彭飞</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6</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12</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史秋梅</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杨越冬</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6</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13</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王秀平</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王同坤</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14</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王悦莹</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常学东</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15</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吴同垒</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杜彬</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16</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辛全英</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6</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梁力曼</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17</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杨童奥</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7</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牛奎</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18</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杨雅涵</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szCs w:val="24"/>
                <w:lang w:val="en-US" w:eastAsia="zh-CN" w:bidi="ar"/>
              </w:rPr>
            </w:pPr>
            <w:bookmarkStart w:id="32" w:name="_Toc16727"/>
            <w:bookmarkStart w:id="33" w:name="_Toc20469"/>
            <w:bookmarkStart w:id="34" w:name="_Toc6690"/>
            <w:r>
              <w:rPr>
                <w:rFonts w:hint="eastAsia" w:ascii="仿宋" w:hAnsi="仿宋" w:eastAsia="仿宋" w:cs="仿宋"/>
                <w:color w:val="000000"/>
                <w:sz w:val="24"/>
                <w:lang w:val="en-US" w:eastAsia="zh-CN" w:bidi="ar"/>
              </w:rPr>
              <w:t>8</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邹静</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19</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张海华</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9</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程才红</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20</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张京政</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10</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高光平</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21</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张志强</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11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刘洪丽</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p>
        </w:tc>
        <w:tc>
          <w:tcPr>
            <w:tcW w:w="985"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p>
        </w:tc>
        <w:tc>
          <w:tcPr>
            <w:tcW w:w="835"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p>
        </w:tc>
      </w:tr>
    </w:tbl>
    <w:p>
      <w:pPr>
        <w:rPr>
          <w:rFonts w:hint="default" w:ascii="黑体" w:hAnsi="黑体" w:eastAsia="黑体" w:cs="黑体"/>
          <w:b/>
          <w:bCs/>
          <w:sz w:val="32"/>
          <w:szCs w:val="32"/>
        </w:rPr>
      </w:pPr>
    </w:p>
    <w:p>
      <w:pPr>
        <w:pStyle w:val="14"/>
        <w:spacing w:before="156" w:beforeLines="50" w:after="156" w:afterLines="50" w:line="432" w:lineRule="auto"/>
        <w:ind w:firstLine="0" w:firstLineChars="0"/>
        <w:outlineLvl w:val="0"/>
        <w:rPr>
          <w:rFonts w:hint="default" w:ascii="黑体" w:hAnsi="黑体" w:eastAsia="黑体" w:cs="黑体"/>
          <w:b/>
          <w:bCs/>
          <w:kern w:val="2"/>
          <w:sz w:val="32"/>
          <w:szCs w:val="32"/>
        </w:rPr>
      </w:pPr>
      <w:r>
        <w:rPr>
          <w:rFonts w:ascii="黑体" w:hAnsi="黑体" w:eastAsia="黑体" w:cs="黑体"/>
          <w:b/>
          <w:bCs/>
          <w:kern w:val="2"/>
          <w:sz w:val="32"/>
          <w:szCs w:val="32"/>
        </w:rPr>
        <w:t>6.技术领域与产业构成</w:t>
      </w:r>
      <w:bookmarkEnd w:id="32"/>
      <w:bookmarkEnd w:id="33"/>
      <w:r>
        <w:rPr>
          <w:rFonts w:ascii="黑体" w:hAnsi="黑体" w:eastAsia="黑体" w:cs="黑体"/>
          <w:b/>
          <w:bCs/>
          <w:kern w:val="2"/>
          <w:sz w:val="32"/>
          <w:szCs w:val="32"/>
        </w:rPr>
        <w:t>分析</w:t>
      </w:r>
      <w:bookmarkEnd w:id="34"/>
    </w:p>
    <w:p>
      <w:pPr>
        <w:pStyle w:val="7"/>
        <w:spacing w:before="0" w:beforeAutospacing="0" w:after="0" w:afterAutospacing="0" w:line="285" w:lineRule="atLeast"/>
        <w:ind w:firstLine="560" w:firstLineChars="200"/>
        <w:rPr>
          <w:rFonts w:hint="default" w:ascii="仿宋" w:hAnsi="仿宋" w:eastAsia="仿宋"/>
          <w:b/>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2024年第一季度</w:t>
      </w:r>
      <w:r>
        <w:rPr>
          <w:rFonts w:ascii="仿宋" w:hAnsi="仿宋" w:eastAsia="仿宋" w:cs="仿宋"/>
          <w:sz w:val="28"/>
          <w:szCs w:val="28"/>
        </w:rPr>
        <w:t>我校公布公告的专利，其</w:t>
      </w:r>
      <w:r>
        <w:rPr>
          <w:rFonts w:ascii="仿宋" w:hAnsi="仿宋" w:eastAsia="仿宋"/>
          <w:color w:val="000000"/>
          <w:sz w:val="28"/>
        </w:rPr>
        <w:t>主要集中在IPC分类中的下面几个大类：</w:t>
      </w:r>
      <w:r>
        <w:rPr>
          <w:rFonts w:hint="eastAsia" w:ascii="仿宋" w:hAnsi="仿宋" w:eastAsia="仿宋"/>
          <w:color w:val="000000"/>
          <w:sz w:val="28"/>
          <w:lang w:val="en-US" w:eastAsia="zh-CN"/>
        </w:rPr>
        <w:t>A01（农业；林业；畜牧业；狩猎；诱捕；捕鱼）、A23（其他类不包含的食品或食料；及其处理）、</w:t>
      </w:r>
      <w:r>
        <w:rPr>
          <w:rFonts w:hint="eastAsia" w:ascii="仿宋" w:hAnsi="仿宋" w:eastAsia="仿宋"/>
          <w:color w:val="333333"/>
          <w:sz w:val="28"/>
          <w:shd w:val="clear" w:color="auto" w:fill="FFFFFF"/>
          <w:lang w:val="en-US" w:eastAsia="zh-CN"/>
        </w:rPr>
        <w:t>C12（生物化学；啤酒；烈性酒；果汁酒；醋；微生物学；酶学；突变或遗传工程）、B01</w:t>
      </w:r>
      <w:r>
        <w:rPr>
          <w:rFonts w:hint="eastAsia" w:ascii="仿宋" w:hAnsi="仿宋" w:eastAsia="仿宋"/>
          <w:color w:val="000000"/>
          <w:sz w:val="28"/>
          <w:lang w:val="en-US" w:eastAsia="zh-CN"/>
        </w:rPr>
        <w:t>（一般的物理或化学的方法或装置）、</w:t>
      </w:r>
      <w:r>
        <w:rPr>
          <w:rFonts w:hint="eastAsia" w:ascii="仿宋" w:hAnsi="仿宋" w:eastAsia="仿宋"/>
          <w:color w:val="333333"/>
          <w:sz w:val="28"/>
          <w:shd w:val="clear" w:color="auto" w:fill="FFFFFF"/>
          <w:lang w:val="en-US" w:eastAsia="zh-CN"/>
        </w:rPr>
        <w:t>A61（医学或兽医学；卫生学）</w:t>
      </w:r>
      <w:r>
        <w:rPr>
          <w:rFonts w:ascii="仿宋" w:hAnsi="仿宋" w:eastAsia="仿宋"/>
          <w:color w:val="333333"/>
          <w:sz w:val="28"/>
          <w:shd w:val="clear" w:color="auto" w:fill="FFFFFF"/>
        </w:rPr>
        <w:t>等，详情参见图6。</w:t>
      </w:r>
    </w:p>
    <w:p>
      <w:pPr>
        <w:pStyle w:val="14"/>
        <w:spacing w:line="600" w:lineRule="auto"/>
        <w:ind w:firstLine="0" w:firstLineChars="0"/>
        <w:jc w:val="center"/>
        <w:rPr>
          <w:rFonts w:ascii="仿宋" w:hAnsi="仿宋" w:eastAsia="仿宋"/>
          <w:b/>
          <w:sz w:val="24"/>
        </w:rPr>
      </w:pPr>
    </w:p>
    <w:p>
      <w:pPr>
        <w:pStyle w:val="14"/>
        <w:spacing w:line="600" w:lineRule="auto"/>
        <w:ind w:firstLine="0" w:firstLineChars="0"/>
        <w:jc w:val="both"/>
        <w:rPr>
          <w:rFonts w:ascii="仿宋" w:hAnsi="仿宋" w:eastAsia="仿宋"/>
          <w:b/>
          <w:sz w:val="24"/>
        </w:rPr>
      </w:pPr>
    </w:p>
    <w:p>
      <w:pPr>
        <w:pStyle w:val="14"/>
        <w:spacing w:line="600" w:lineRule="auto"/>
        <w:ind w:firstLine="0" w:firstLineChars="0"/>
        <w:jc w:val="center"/>
        <w:rPr>
          <w:rFonts w:ascii="仿宋" w:hAnsi="仿宋" w:eastAsia="仿宋"/>
          <w:b/>
          <w:sz w:val="24"/>
        </w:rPr>
      </w:pPr>
      <w:r>
        <w:rPr>
          <w:rFonts w:ascii="仿宋" w:hAnsi="仿宋" w:eastAsia="仿宋"/>
          <w:b/>
          <w:sz w:val="24"/>
        </w:rPr>
        <w:t>图6：河北科技师范学院</w:t>
      </w:r>
      <w:r>
        <w:rPr>
          <w:rFonts w:hint="eastAsia" w:ascii="仿宋" w:hAnsi="仿宋" w:eastAsia="仿宋"/>
          <w:b/>
          <w:sz w:val="24"/>
          <w:lang w:eastAsia="zh-CN"/>
        </w:rPr>
        <w:t>2024年第一季度</w:t>
      </w:r>
      <w:r>
        <w:rPr>
          <w:rFonts w:ascii="仿宋" w:hAnsi="仿宋" w:eastAsia="仿宋"/>
          <w:b/>
          <w:sz w:val="24"/>
        </w:rPr>
        <w:t>专利技术领域与产业构成分布</w:t>
      </w:r>
    </w:p>
    <w:p>
      <w:pPr>
        <w:pStyle w:val="14"/>
        <w:spacing w:line="600" w:lineRule="auto"/>
        <w:ind w:firstLine="0" w:firstLineChars="0"/>
        <w:jc w:val="center"/>
        <w:rPr>
          <w:rFonts w:hint="default" w:ascii="仿宋" w:hAnsi="仿宋" w:eastAsia="仿宋"/>
          <w:b/>
          <w:sz w:val="24"/>
        </w:rPr>
      </w:pPr>
      <w:r>
        <w:drawing>
          <wp:inline distT="0" distB="0" distL="114300" distR="114300">
            <wp:extent cx="4826000" cy="2743200"/>
            <wp:effectExtent l="4445" t="4445" r="8255" b="14605"/>
            <wp:docPr id="2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outlineLvl w:val="0"/>
        <w:rPr>
          <w:rFonts w:ascii="黑体" w:hAnsi="黑体" w:eastAsia="黑体" w:cs="黑体"/>
          <w:b/>
          <w:bCs/>
          <w:sz w:val="32"/>
          <w:szCs w:val="32"/>
        </w:rPr>
      </w:pPr>
      <w:bookmarkStart w:id="35" w:name="_Toc23978"/>
    </w:p>
    <w:p>
      <w:pPr>
        <w:outlineLvl w:val="0"/>
        <w:rPr>
          <w:rFonts w:hint="default" w:ascii="黑体" w:hAnsi="黑体" w:eastAsia="黑体" w:cs="黑体"/>
          <w:b/>
          <w:bCs/>
          <w:sz w:val="32"/>
          <w:szCs w:val="32"/>
        </w:rPr>
      </w:pPr>
      <w:r>
        <w:rPr>
          <w:rFonts w:ascii="黑体" w:hAnsi="黑体" w:eastAsia="黑体" w:cs="黑体"/>
          <w:b/>
          <w:bCs/>
          <w:sz w:val="32"/>
          <w:szCs w:val="32"/>
        </w:rPr>
        <w:t>7.申请机构分析</w:t>
      </w:r>
      <w:bookmarkEnd w:id="35"/>
    </w:p>
    <w:p>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2024年第一季度</w:t>
      </w:r>
      <w:r>
        <w:rPr>
          <w:rFonts w:ascii="仿宋" w:hAnsi="仿宋" w:eastAsia="仿宋" w:cs="仿宋"/>
          <w:sz w:val="28"/>
          <w:szCs w:val="28"/>
        </w:rPr>
        <w:t>我校公布公告的专利申请机构，河北科技师范学院申请专利</w:t>
      </w:r>
      <w:r>
        <w:rPr>
          <w:rFonts w:hint="eastAsia" w:ascii="仿宋" w:hAnsi="仿宋" w:eastAsia="仿宋" w:cs="仿宋"/>
          <w:sz w:val="28"/>
          <w:szCs w:val="28"/>
          <w:lang w:val="en-US" w:eastAsia="zh-CN"/>
        </w:rPr>
        <w:t>22</w:t>
      </w:r>
      <w:r>
        <w:rPr>
          <w:rFonts w:ascii="仿宋" w:hAnsi="仿宋" w:eastAsia="仿宋" w:cs="仿宋"/>
          <w:sz w:val="28"/>
          <w:szCs w:val="28"/>
        </w:rPr>
        <w:t>件，占比</w:t>
      </w:r>
      <w:r>
        <w:rPr>
          <w:rFonts w:hint="eastAsia" w:ascii="仿宋" w:hAnsi="仿宋" w:eastAsia="仿宋" w:cs="仿宋"/>
          <w:sz w:val="28"/>
          <w:szCs w:val="28"/>
          <w:lang w:val="en-US" w:eastAsia="zh-CN"/>
        </w:rPr>
        <w:t>81.48</w:t>
      </w:r>
      <w:r>
        <w:rPr>
          <w:rFonts w:ascii="仿宋" w:hAnsi="仿宋" w:eastAsia="仿宋" w:cs="仿宋"/>
          <w:sz w:val="28"/>
          <w:szCs w:val="28"/>
        </w:rPr>
        <w:t>%；河北科技师范学院联合其他机构申请专利共计</w:t>
      </w:r>
      <w:r>
        <w:rPr>
          <w:rFonts w:hint="eastAsia" w:ascii="仿宋" w:hAnsi="仿宋" w:eastAsia="仿宋" w:cs="仿宋"/>
          <w:sz w:val="28"/>
          <w:szCs w:val="28"/>
          <w:lang w:val="en-US" w:eastAsia="zh-CN"/>
        </w:rPr>
        <w:t>5</w:t>
      </w:r>
      <w:r>
        <w:rPr>
          <w:rFonts w:ascii="仿宋" w:hAnsi="仿宋" w:eastAsia="仿宋" w:cs="仿宋"/>
          <w:sz w:val="28"/>
          <w:szCs w:val="28"/>
        </w:rPr>
        <w:t>件，占比</w:t>
      </w:r>
      <w:r>
        <w:rPr>
          <w:rFonts w:hint="eastAsia" w:ascii="仿宋" w:hAnsi="仿宋" w:eastAsia="仿宋" w:cs="仿宋"/>
          <w:sz w:val="28"/>
          <w:szCs w:val="28"/>
          <w:lang w:val="en-US" w:eastAsia="zh-CN"/>
        </w:rPr>
        <w:t>18.52</w:t>
      </w:r>
      <w:r>
        <w:rPr>
          <w:rFonts w:ascii="仿宋" w:hAnsi="仿宋" w:eastAsia="仿宋" w:cs="仿宋"/>
          <w:sz w:val="28"/>
          <w:szCs w:val="28"/>
        </w:rPr>
        <w:t>%；具体分布参见图7。</w:t>
      </w:r>
    </w:p>
    <w:p>
      <w:pPr>
        <w:spacing w:line="360" w:lineRule="auto"/>
        <w:jc w:val="both"/>
        <w:rPr>
          <w:rFonts w:ascii="仿宋" w:hAnsi="仿宋" w:eastAsia="仿宋" w:cs="仿宋"/>
          <w:b/>
          <w:bCs/>
          <w:sz w:val="24"/>
        </w:rPr>
      </w:pPr>
    </w:p>
    <w:p>
      <w:pPr>
        <w:spacing w:line="600" w:lineRule="auto"/>
        <w:jc w:val="center"/>
        <w:rPr>
          <w:rFonts w:ascii="仿宋" w:hAnsi="仿宋" w:eastAsia="仿宋" w:cs="仿宋"/>
          <w:b/>
          <w:bCs/>
          <w:color w:val="000000"/>
          <w:sz w:val="24"/>
          <w:lang w:bidi="ar"/>
        </w:rPr>
      </w:pPr>
      <w:r>
        <w:rPr>
          <w:rFonts w:ascii="仿宋" w:hAnsi="仿宋" w:eastAsia="仿宋" w:cs="仿宋"/>
          <w:b/>
          <w:bCs/>
          <w:sz w:val="24"/>
        </w:rPr>
        <w:t>图7</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2024年第一季度</w:t>
      </w:r>
      <w:r>
        <w:rPr>
          <w:rFonts w:ascii="仿宋" w:hAnsi="仿宋" w:eastAsia="仿宋" w:cs="仿宋"/>
          <w:b/>
          <w:bCs/>
          <w:color w:val="000000"/>
          <w:sz w:val="24"/>
          <w:lang w:bidi="ar"/>
        </w:rPr>
        <w:t>专利申请机构分布</w:t>
      </w:r>
    </w:p>
    <w:p>
      <w:pPr>
        <w:spacing w:line="600" w:lineRule="auto"/>
        <w:jc w:val="center"/>
        <w:rPr>
          <w:rFonts w:hint="default" w:ascii="仿宋" w:hAnsi="仿宋" w:eastAsia="仿宋" w:cs="仿宋"/>
          <w:b/>
          <w:bCs/>
          <w:color w:val="000000"/>
          <w:sz w:val="24"/>
          <w:lang w:bidi="ar"/>
        </w:rPr>
      </w:pPr>
      <w:r>
        <w:drawing>
          <wp:inline distT="0" distB="0" distL="114300" distR="114300">
            <wp:extent cx="4826000" cy="2743200"/>
            <wp:effectExtent l="4445" t="4445" r="8255" b="14605"/>
            <wp:docPr id="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outlineLvl w:val="0"/>
        <w:rPr>
          <w:rFonts w:hint="default" w:ascii="黑体" w:hAnsi="黑体" w:eastAsia="黑体" w:cs="黑体"/>
          <w:b/>
          <w:bCs/>
          <w:sz w:val="32"/>
          <w:szCs w:val="32"/>
        </w:rPr>
      </w:pPr>
      <w:bookmarkStart w:id="36" w:name="_Toc29"/>
      <w:r>
        <w:rPr>
          <w:rFonts w:ascii="黑体" w:hAnsi="黑体" w:eastAsia="黑体" w:cs="黑体"/>
          <w:b/>
          <w:bCs/>
          <w:sz w:val="32"/>
          <w:szCs w:val="32"/>
        </w:rPr>
        <w:t>8.代理机构分析</w:t>
      </w:r>
      <w:bookmarkEnd w:id="36"/>
    </w:p>
    <w:p>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综合分析</w:t>
      </w:r>
      <w:r>
        <w:rPr>
          <w:rFonts w:hint="eastAsia" w:ascii="仿宋" w:hAnsi="仿宋" w:eastAsia="仿宋" w:cs="仿宋"/>
          <w:sz w:val="28"/>
          <w:szCs w:val="28"/>
          <w:lang w:eastAsia="zh-CN"/>
        </w:rPr>
        <w:t>2024年第一季度</w:t>
      </w:r>
      <w:r>
        <w:rPr>
          <w:rFonts w:ascii="仿宋" w:hAnsi="仿宋" w:eastAsia="仿宋" w:cs="仿宋"/>
          <w:sz w:val="28"/>
          <w:szCs w:val="28"/>
        </w:rPr>
        <w:t>我校公布公告的</w:t>
      </w:r>
      <w:r>
        <w:rPr>
          <w:rFonts w:hint="eastAsia" w:ascii="仿宋" w:hAnsi="仿宋" w:eastAsia="仿宋" w:cs="仿宋"/>
          <w:sz w:val="28"/>
          <w:szCs w:val="28"/>
          <w:lang w:val="en-US" w:eastAsia="zh-CN"/>
        </w:rPr>
        <w:t>25</w:t>
      </w:r>
      <w:r>
        <w:rPr>
          <w:rFonts w:ascii="仿宋" w:hAnsi="仿宋" w:eastAsia="仿宋" w:cs="仿宋"/>
          <w:sz w:val="28"/>
          <w:szCs w:val="28"/>
        </w:rPr>
        <w:t>件专利，代理申请机构共</w:t>
      </w:r>
      <w:r>
        <w:rPr>
          <w:rFonts w:hint="eastAsia" w:ascii="仿宋" w:hAnsi="仿宋" w:eastAsia="仿宋" w:cs="仿宋"/>
          <w:sz w:val="28"/>
          <w:szCs w:val="28"/>
          <w:lang w:val="en-US" w:eastAsia="zh-CN"/>
        </w:rPr>
        <w:t>14</w:t>
      </w:r>
      <w:r>
        <w:rPr>
          <w:rFonts w:ascii="仿宋" w:hAnsi="仿宋" w:eastAsia="仿宋" w:cs="仿宋"/>
          <w:sz w:val="28"/>
          <w:szCs w:val="28"/>
        </w:rPr>
        <w:t>家，其中</w:t>
      </w:r>
      <w:r>
        <w:rPr>
          <w:rFonts w:hint="eastAsia" w:ascii="仿宋" w:hAnsi="仿宋" w:eastAsia="仿宋" w:cs="仿宋"/>
          <w:sz w:val="28"/>
          <w:szCs w:val="28"/>
        </w:rPr>
        <w:t>北京超凡宏宇专利代理事务所</w:t>
      </w:r>
      <w:r>
        <w:rPr>
          <w:rFonts w:ascii="仿宋" w:hAnsi="仿宋" w:eastAsia="仿宋" w:cs="仿宋"/>
          <w:sz w:val="28"/>
          <w:szCs w:val="28"/>
        </w:rPr>
        <w:t>、</w:t>
      </w:r>
      <w:r>
        <w:rPr>
          <w:rFonts w:hint="eastAsia" w:ascii="仿宋" w:hAnsi="仿宋" w:eastAsia="仿宋" w:cs="仿宋"/>
          <w:sz w:val="28"/>
          <w:szCs w:val="28"/>
          <w:lang w:val="en-US" w:eastAsia="zh-CN"/>
        </w:rPr>
        <w:t>北京慕达星云知识产权代理事务所、成都四慧知识产权代理事务所等</w:t>
      </w:r>
      <w:r>
        <w:rPr>
          <w:rFonts w:ascii="仿宋" w:hAnsi="仿宋" w:eastAsia="仿宋" w:cs="仿宋"/>
          <w:sz w:val="28"/>
          <w:szCs w:val="28"/>
        </w:rPr>
        <w:t>代理申请专利数量较多，具体代理机构分布参见表3。</w:t>
      </w:r>
      <w:bookmarkStart w:id="38" w:name="_GoBack"/>
      <w:bookmarkEnd w:id="38"/>
    </w:p>
    <w:p>
      <w:pPr>
        <w:spacing w:line="600" w:lineRule="auto"/>
        <w:ind w:firstLine="482" w:firstLineChars="200"/>
        <w:jc w:val="center"/>
        <w:rPr>
          <w:rFonts w:hint="default" w:ascii="仿宋" w:hAnsi="仿宋" w:eastAsia="仿宋" w:cs="仿宋"/>
          <w:b/>
          <w:bCs/>
          <w:color w:val="000000"/>
          <w:sz w:val="24"/>
          <w:lang w:bidi="ar"/>
        </w:rPr>
      </w:pPr>
      <w:r>
        <w:rPr>
          <w:rFonts w:ascii="仿宋" w:hAnsi="仿宋" w:eastAsia="仿宋" w:cs="仿宋"/>
          <w:b/>
          <w:bCs/>
          <w:sz w:val="24"/>
        </w:rPr>
        <w:t>表3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2024年第一季度</w:t>
      </w:r>
      <w:r>
        <w:rPr>
          <w:rFonts w:ascii="仿宋" w:hAnsi="仿宋" w:eastAsia="仿宋" w:cs="仿宋"/>
          <w:b/>
          <w:bCs/>
          <w:color w:val="000000"/>
          <w:sz w:val="24"/>
          <w:lang w:bidi="ar"/>
        </w:rPr>
        <w:t>专利代理机构统计表</w:t>
      </w:r>
    </w:p>
    <w:tbl>
      <w:tblPr>
        <w:tblStyle w:val="8"/>
        <w:tblW w:w="4998" w:type="pct"/>
        <w:tblInd w:w="0" w:type="dxa"/>
        <w:tblLayout w:type="autofit"/>
        <w:tblCellMar>
          <w:top w:w="0" w:type="dxa"/>
          <w:left w:w="0" w:type="dxa"/>
          <w:bottom w:w="0" w:type="dxa"/>
          <w:right w:w="0" w:type="dxa"/>
        </w:tblCellMar>
      </w:tblPr>
      <w:tblGrid>
        <w:gridCol w:w="1560"/>
        <w:gridCol w:w="5074"/>
        <w:gridCol w:w="1699"/>
      </w:tblGrid>
      <w:tr>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专利数量</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1</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北京超凡宏宇专利代理事务所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6</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北京慕达星云知识产权代理事务所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4</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3</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成都四慧知识产权代理事务所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北京高沃律师事务所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bookmarkStart w:id="37" w:name="_Toc17108"/>
            <w:r>
              <w:rPr>
                <w:rFonts w:hint="eastAsia" w:ascii="仿宋" w:hAnsi="仿宋" w:eastAsia="仿宋" w:cs="仿宋"/>
                <w:color w:val="000000"/>
                <w:sz w:val="24"/>
                <w:lang w:val="en-US" w:eastAsia="zh-CN" w:bidi="ar"/>
              </w:rPr>
              <w:t>5</w:t>
            </w:r>
          </w:p>
        </w:tc>
        <w:tc>
          <w:tcPr>
            <w:tcW w:w="5074" w:type="dxa"/>
            <w:tcBorders>
              <w:top w:val="single" w:color="000000" w:sz="4" w:space="0"/>
              <w:left w:val="nil"/>
              <w:bottom w:val="single" w:color="000000" w:sz="4" w:space="0"/>
              <w:right w:val="single" w:color="000000" w:sz="4" w:space="0"/>
            </w:tcBorders>
            <w:shd w:val="clear" w:color="auto" w:fill="B8CCE4" w:themeFill="accent1" w:themeFillTint="66"/>
            <w:tcMar>
              <w:top w:w="15" w:type="dxa"/>
              <w:left w:w="15" w:type="dxa"/>
              <w:right w:w="15" w:type="dxa"/>
            </w:tcMar>
            <w:vAlign w:val="center"/>
          </w:tcPr>
          <w:p>
            <w:pPr>
              <w:widowControl/>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广州大象飞扬知识产权代理有限公司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6</w:t>
            </w:r>
          </w:p>
        </w:tc>
        <w:tc>
          <w:tcPr>
            <w:tcW w:w="5074" w:type="dxa"/>
            <w:tcBorders>
              <w:top w:val="single" w:color="000000" w:sz="4" w:space="0"/>
              <w:left w:val="nil"/>
              <w:bottom w:val="single" w:color="000000" w:sz="4" w:space="0"/>
              <w:right w:val="single" w:color="000000" w:sz="4" w:space="0"/>
            </w:tcBorders>
            <w:shd w:val="clear" w:color="auto" w:fill="FFFFFF" w:themeFill="background1"/>
            <w:tcMar>
              <w:top w:w="15" w:type="dxa"/>
              <w:left w:w="15" w:type="dxa"/>
              <w:right w:w="15" w:type="dxa"/>
            </w:tcMar>
            <w:vAlign w:val="center"/>
          </w:tcPr>
          <w:p>
            <w:pPr>
              <w:widowControl/>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西安智财全知识产权代理事务所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bl>
    <w:p>
      <w:pPr>
        <w:outlineLvl w:val="0"/>
        <w:rPr>
          <w:rFonts w:ascii="黑体" w:hAnsi="黑体" w:eastAsia="黑体" w:cs="黑体"/>
          <w:b/>
          <w:bCs/>
          <w:sz w:val="32"/>
          <w:szCs w:val="32"/>
        </w:rPr>
      </w:pPr>
    </w:p>
    <w:p>
      <w:pPr>
        <w:outlineLvl w:val="0"/>
        <w:rPr>
          <w:rFonts w:hint="default" w:ascii="黑体" w:hAnsi="黑体" w:eastAsia="黑体" w:cs="黑体"/>
          <w:b/>
          <w:bCs/>
          <w:sz w:val="32"/>
          <w:szCs w:val="32"/>
        </w:rPr>
      </w:pPr>
      <w:r>
        <w:rPr>
          <w:rFonts w:ascii="黑体" w:hAnsi="黑体" w:eastAsia="黑体" w:cs="黑体"/>
          <w:b/>
          <w:bCs/>
          <w:sz w:val="32"/>
          <w:szCs w:val="32"/>
        </w:rPr>
        <w:t>9.综合分析</w:t>
      </w:r>
      <w:bookmarkEnd w:id="37"/>
    </w:p>
    <w:p>
      <w:pPr>
        <w:adjustRightInd/>
        <w:spacing w:line="240" w:lineRule="atLeast"/>
        <w:ind w:firstLine="560" w:firstLineChars="200"/>
        <w:rPr>
          <w:rFonts w:hint="default" w:ascii="Arial"/>
          <w:color w:val="4AC1DD"/>
          <w:sz w:val="230"/>
        </w:rPr>
      </w:pPr>
      <w:r>
        <w:rPr>
          <w:rFonts w:ascii="仿宋" w:hAnsi="仿宋" w:eastAsia="仿宋" w:cs="仿宋"/>
          <w:sz w:val="28"/>
          <w:szCs w:val="28"/>
        </w:rPr>
        <w:t>综上，本报告分析了</w:t>
      </w:r>
      <w:r>
        <w:rPr>
          <w:rFonts w:hint="eastAsia" w:ascii="仿宋" w:hAnsi="仿宋" w:eastAsia="仿宋" w:cs="仿宋"/>
          <w:sz w:val="28"/>
          <w:szCs w:val="28"/>
          <w:lang w:eastAsia="zh-CN"/>
        </w:rPr>
        <w:t>2024年第一季度</w:t>
      </w:r>
      <w:r>
        <w:rPr>
          <w:rFonts w:ascii="仿宋" w:hAnsi="仿宋" w:eastAsia="仿宋" w:cs="仿宋"/>
          <w:sz w:val="28"/>
          <w:szCs w:val="28"/>
        </w:rPr>
        <w:t>以河北科技师范学院为申请人公布公告的专利，分别从专利数量、专利类别、学科、主题词、发明人、技术领域与产业结构、申请机构、代理机构八大方面进行了具体分析和阐述，希望通过提供基础数据和文献分析，进一步揭示我校专利发展水平和发展趋势，为推动学校科研发展尽绵薄之力。</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05"/>
  <w:drawingGridVerticalSpacing w:val="285"/>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172A27"/>
    <w:rsid w:val="00172A27"/>
    <w:rsid w:val="003C5849"/>
    <w:rsid w:val="00720899"/>
    <w:rsid w:val="007C7DCA"/>
    <w:rsid w:val="00C96041"/>
    <w:rsid w:val="068C5D47"/>
    <w:rsid w:val="07A31A18"/>
    <w:rsid w:val="0A495CA2"/>
    <w:rsid w:val="0B1D526B"/>
    <w:rsid w:val="0B6D1B6C"/>
    <w:rsid w:val="0CC56CA9"/>
    <w:rsid w:val="0CF243D5"/>
    <w:rsid w:val="0D6D52D1"/>
    <w:rsid w:val="0E0E2157"/>
    <w:rsid w:val="0F076F9B"/>
    <w:rsid w:val="0FFF56D6"/>
    <w:rsid w:val="11B97A3C"/>
    <w:rsid w:val="1E4046D6"/>
    <w:rsid w:val="1F817EB6"/>
    <w:rsid w:val="22433200"/>
    <w:rsid w:val="275A53D4"/>
    <w:rsid w:val="289B5F52"/>
    <w:rsid w:val="2EAB0AAB"/>
    <w:rsid w:val="2F44466F"/>
    <w:rsid w:val="320F1351"/>
    <w:rsid w:val="36755FC0"/>
    <w:rsid w:val="37C33E8B"/>
    <w:rsid w:val="3B380AF6"/>
    <w:rsid w:val="3E0F26DB"/>
    <w:rsid w:val="456B524E"/>
    <w:rsid w:val="47736058"/>
    <w:rsid w:val="48BD06AA"/>
    <w:rsid w:val="49751CD3"/>
    <w:rsid w:val="4A9C0518"/>
    <w:rsid w:val="4BA86901"/>
    <w:rsid w:val="4EB42C0C"/>
    <w:rsid w:val="51F021AD"/>
    <w:rsid w:val="52734B8D"/>
    <w:rsid w:val="53186936"/>
    <w:rsid w:val="56A50181"/>
    <w:rsid w:val="5BDB3ECE"/>
    <w:rsid w:val="5F773F0E"/>
    <w:rsid w:val="623C1CD3"/>
    <w:rsid w:val="645C16BE"/>
    <w:rsid w:val="680E2F36"/>
    <w:rsid w:val="6B6F7D82"/>
    <w:rsid w:val="6CA15572"/>
    <w:rsid w:val="6D77388D"/>
    <w:rsid w:val="6F196D90"/>
    <w:rsid w:val="6FCD2D41"/>
    <w:rsid w:val="72646574"/>
    <w:rsid w:val="77C17FC5"/>
    <w:rsid w:val="78FA3A9C"/>
    <w:rsid w:val="79BF69E1"/>
    <w:rsid w:val="7B757402"/>
    <w:rsid w:val="7F800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39" w:semiHidden="0" w:name="toc 1"/>
    <w:lsdException w:qFormat="1"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uiPriority="99" w:semiHidden="0" w:name="header"/>
    <w:lsdException w:qFormat="1"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nhideWhenUsed="0" w:uiPriority="99" w:semiHidden="0" w:name="Balloon Text"/>
    <w:lsdException w:qFormat="1" w:uiPriority="39" w:name="Table Grid"/>
    <w:lsdException w:qFormat="1" w:uiPriority="99"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unhideWhenUsed/>
    <w:qFormat/>
    <w:uiPriority w:val="0"/>
    <w:pPr>
      <w:widowControl w:val="0"/>
      <w:adjustRightInd w:val="0"/>
      <w:spacing w:line="312" w:lineRule="atLeast"/>
      <w:jc w:val="both"/>
      <w:textAlignment w:val="baseline"/>
    </w:pPr>
    <w:rPr>
      <w:rFonts w:hint="eastAsia" w:ascii="Times New Roman" w:hAnsi="Times New Roman" w:eastAsia="宋体" w:cs="Times New Roman"/>
      <w:sz w:val="21"/>
      <w:szCs w:val="24"/>
      <w:lang w:val="en-US" w:eastAsia="zh-CN" w:bidi="ar-SA"/>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9"/>
    <w:unhideWhenUsed/>
    <w:qFormat/>
    <w:uiPriority w:val="1"/>
    <w:pPr>
      <w:ind w:left="20"/>
    </w:pPr>
    <w:rPr>
      <w:rFonts w:ascii="微软雅黑" w:hAnsi="微软雅黑" w:eastAsia="微软雅黑"/>
      <w:sz w:val="41"/>
    </w:rPr>
  </w:style>
  <w:style w:type="paragraph" w:styleId="3">
    <w:name w:val="footer"/>
    <w:basedOn w:val="1"/>
    <w:link w:val="18"/>
    <w:autoRedefine/>
    <w:unhideWhenUsed/>
    <w:qFormat/>
    <w:uiPriority w:val="99"/>
    <w:pPr>
      <w:tabs>
        <w:tab w:val="center" w:pos="4153"/>
        <w:tab w:val="right" w:pos="8306"/>
      </w:tabs>
      <w:snapToGrid w:val="0"/>
      <w:spacing w:line="240" w:lineRule="atLeast"/>
      <w:jc w:val="left"/>
    </w:pPr>
    <w:rPr>
      <w:sz w:val="18"/>
    </w:rPr>
  </w:style>
  <w:style w:type="paragraph" w:styleId="4">
    <w:name w:val="header"/>
    <w:basedOn w:val="1"/>
    <w:link w:val="16"/>
    <w:unhideWhenUsed/>
    <w:uiPriority w:val="99"/>
    <w:pPr>
      <w:pBdr>
        <w:bottom w:val="single" w:color="auto" w:sz="6" w:space="1"/>
      </w:pBdr>
      <w:tabs>
        <w:tab w:val="center" w:pos="4153"/>
        <w:tab w:val="right" w:pos="8306"/>
      </w:tabs>
      <w:snapToGrid w:val="0"/>
      <w:spacing w:line="240" w:lineRule="atLeast"/>
      <w:jc w:val="center"/>
    </w:pPr>
    <w:rPr>
      <w:sz w:val="18"/>
    </w:rPr>
  </w:style>
  <w:style w:type="paragraph" w:styleId="5">
    <w:name w:val="toc 1"/>
    <w:basedOn w:val="1"/>
    <w:next w:val="1"/>
    <w:autoRedefine/>
    <w:unhideWhenUsed/>
    <w:qFormat/>
    <w:uiPriority w:val="39"/>
  </w:style>
  <w:style w:type="paragraph" w:styleId="6">
    <w:name w:val="toc 2"/>
    <w:basedOn w:val="1"/>
    <w:next w:val="1"/>
    <w:unhideWhenUsed/>
    <w:qFormat/>
    <w:uiPriority w:val="0"/>
    <w:pPr>
      <w:ind w:left="420" w:leftChars="200"/>
    </w:pPr>
  </w:style>
  <w:style w:type="paragraph" w:styleId="7">
    <w:name w:val="Normal (Web)"/>
    <w:basedOn w:val="1"/>
    <w:unhideWhenUsed/>
    <w:qFormat/>
    <w:uiPriority w:val="99"/>
    <w:pPr>
      <w:widowControl/>
      <w:spacing w:before="100" w:beforeAutospacing="1" w:after="100" w:afterAutospacing="1"/>
      <w:jc w:val="left"/>
    </w:pPr>
    <w:rPr>
      <w:rFonts w:ascii="宋体" w:hAnsi="宋体"/>
      <w:sz w:val="24"/>
    </w:rPr>
  </w:style>
  <w:style w:type="character" w:styleId="10">
    <w:name w:val="FollowedHyperlink"/>
    <w:basedOn w:val="9"/>
    <w:unhideWhenUsed/>
    <w:qFormat/>
    <w:uiPriority w:val="99"/>
    <w:rPr>
      <w:rFonts w:hint="default"/>
      <w:color w:val="800080"/>
      <w:sz w:val="24"/>
      <w:szCs w:val="24"/>
      <w:u w:val="single"/>
    </w:rPr>
  </w:style>
  <w:style w:type="character" w:styleId="11">
    <w:name w:val="Hyperlink"/>
    <w:basedOn w:val="9"/>
    <w:autoRedefine/>
    <w:unhideWhenUsed/>
    <w:qFormat/>
    <w:uiPriority w:val="99"/>
    <w:rPr>
      <w:rFonts w:hint="default"/>
      <w:color w:val="0000FF"/>
      <w:sz w:val="24"/>
      <w:szCs w:val="24"/>
      <w:u w:val="single"/>
    </w:rPr>
  </w:style>
  <w:style w:type="paragraph" w:customStyle="1" w:styleId="12">
    <w:name w:val="WPSOffice手动目录 1"/>
    <w:unhideWhenUsed/>
    <w:qFormat/>
    <w:uiPriority w:val="0"/>
    <w:rPr>
      <w:rFonts w:ascii="Times New Roman" w:hAnsi="Times New Roman" w:eastAsia="宋体" w:cs="Times New Roman"/>
      <w:szCs w:val="24"/>
      <w:lang w:val="en-US" w:eastAsia="zh-CN" w:bidi="ar-SA"/>
    </w:rPr>
  </w:style>
  <w:style w:type="paragraph" w:customStyle="1" w:styleId="13">
    <w:name w:val="WPSOffice手动目录 2"/>
    <w:autoRedefine/>
    <w:unhideWhenUsed/>
    <w:qFormat/>
    <w:uiPriority w:val="0"/>
    <w:pPr>
      <w:ind w:left="200" w:leftChars="200"/>
    </w:pPr>
    <w:rPr>
      <w:rFonts w:ascii="Times New Roman" w:hAnsi="Times New Roman" w:eastAsia="宋体" w:cs="Times New Roman"/>
      <w:szCs w:val="24"/>
      <w:lang w:val="en-US" w:eastAsia="zh-CN" w:bidi="ar-SA"/>
    </w:rPr>
  </w:style>
  <w:style w:type="paragraph" w:styleId="14">
    <w:name w:val="List Paragraph"/>
    <w:basedOn w:val="1"/>
    <w:unhideWhenUsed/>
    <w:qFormat/>
    <w:uiPriority w:val="34"/>
    <w:pPr>
      <w:ind w:firstLine="420" w:firstLineChars="200"/>
    </w:pPr>
  </w:style>
  <w:style w:type="paragraph" w:styleId="15">
    <w:name w:val="No Spacing"/>
    <w:link w:val="17"/>
    <w:autoRedefine/>
    <w:unhideWhenUsed/>
    <w:qFormat/>
    <w:uiPriority w:val="1"/>
    <w:rPr>
      <w:rFonts w:hint="eastAsia" w:ascii="等线" w:hAnsi="等线" w:eastAsia="等线" w:cs="Times New Roman"/>
      <w:sz w:val="22"/>
      <w:szCs w:val="24"/>
      <w:lang w:val="en-US" w:eastAsia="zh-CN" w:bidi="ar-SA"/>
    </w:rPr>
  </w:style>
  <w:style w:type="character" w:customStyle="1" w:styleId="16">
    <w:name w:val="页眉 Char"/>
    <w:basedOn w:val="9"/>
    <w:link w:val="4"/>
    <w:autoRedefine/>
    <w:unhideWhenUsed/>
    <w:qFormat/>
    <w:locked/>
    <w:uiPriority w:val="99"/>
    <w:rPr>
      <w:rFonts w:hint="eastAsia" w:ascii="Times New Roman" w:hAnsi="Times New Roman" w:eastAsia="宋体"/>
      <w:sz w:val="18"/>
      <w:szCs w:val="24"/>
    </w:rPr>
  </w:style>
  <w:style w:type="character" w:customStyle="1" w:styleId="17">
    <w:name w:val="无间隔 Char"/>
    <w:link w:val="15"/>
    <w:autoRedefine/>
    <w:unhideWhenUsed/>
    <w:qFormat/>
    <w:locked/>
    <w:uiPriority w:val="1"/>
    <w:rPr>
      <w:rFonts w:hint="default"/>
      <w:sz w:val="22"/>
      <w:szCs w:val="24"/>
    </w:rPr>
  </w:style>
  <w:style w:type="character" w:customStyle="1" w:styleId="18">
    <w:name w:val="页脚 Char"/>
    <w:basedOn w:val="9"/>
    <w:link w:val="3"/>
    <w:autoRedefine/>
    <w:unhideWhenUsed/>
    <w:qFormat/>
    <w:locked/>
    <w:uiPriority w:val="99"/>
    <w:rPr>
      <w:rFonts w:hint="eastAsia" w:ascii="Times New Roman" w:hAnsi="Times New Roman" w:eastAsia="宋体"/>
      <w:sz w:val="18"/>
      <w:szCs w:val="24"/>
    </w:rPr>
  </w:style>
  <w:style w:type="character" w:customStyle="1" w:styleId="19">
    <w:name w:val="正文文本 Char"/>
    <w:basedOn w:val="9"/>
    <w:link w:val="2"/>
    <w:autoRedefine/>
    <w:qFormat/>
    <w:uiPriority w:val="1"/>
    <w:rPr>
      <w:rFonts w:ascii="微软雅黑" w:hAnsi="微软雅黑" w:eastAsia="微软雅黑"/>
      <w:sz w:val="41"/>
      <w:szCs w:val="24"/>
    </w:rPr>
  </w:style>
  <w:style w:type="character" w:customStyle="1" w:styleId="20">
    <w:name w:val="font21"/>
    <w:basedOn w:val="9"/>
    <w:autoRedefine/>
    <w:qFormat/>
    <w:uiPriority w:val="0"/>
    <w:rPr>
      <w:rFonts w:hint="eastAsia" w:ascii="仿宋" w:hAnsi="仿宋" w:eastAsia="仿宋" w:cs="仿宋"/>
      <w:b/>
      <w:bCs/>
      <w:color w:val="FFFFFF"/>
      <w:sz w:val="24"/>
      <w:szCs w:val="24"/>
      <w:u w:val="none"/>
    </w:rPr>
  </w:style>
  <w:style w:type="character" w:customStyle="1" w:styleId="21">
    <w:name w:val="font01"/>
    <w:basedOn w:val="9"/>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2.&#26085;&#24120;&#24037;&#20316;--&#19987;&#21033;&#20998;&#26512;&#25253;&#21578;\2024&#31532;&#19968;&#23395;&#24230;&#19987;&#21033;&#24773;&#20917;&#32479;&#35745;\CNKI-2024&#31532;&#19968;&#23395;&#24230;&#19987;&#21033;&#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4.&#31185;&#30740;&#25104;&#26524;&#20998;&#26512;&#25253;&#21578;\2.&#26085;&#24120;&#24037;&#20316;--&#19987;&#21033;&#20998;&#26512;&#25253;&#21578;\2024&#31532;&#19968;&#23395;&#24230;&#19987;&#21033;&#24773;&#20917;&#32479;&#35745;\CNKI-2024&#31532;&#19968;&#23395;&#24230;&#19987;&#21033;&#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2.&#26085;&#24120;&#24037;&#20316;--&#19987;&#21033;&#20998;&#26512;&#25253;&#21578;\2024&#31532;&#19968;&#23395;&#24230;&#19987;&#21033;&#24773;&#20917;&#32479;&#35745;\CNKI-2024&#31532;&#19968;&#23395;&#24230;&#19987;&#21033;&#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2.&#26085;&#24120;&#24037;&#20316;--&#19987;&#21033;&#20998;&#26512;&#25253;&#21578;\2024&#31532;&#19968;&#23395;&#24230;&#19987;&#21033;&#24773;&#20917;&#32479;&#35745;\CNKI-2024&#31532;&#19968;&#23395;&#24230;&#19987;&#21033;&#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2.&#26085;&#24120;&#24037;&#20316;--&#19987;&#21033;&#20998;&#26512;&#25253;&#21578;\2024&#31532;&#19968;&#23395;&#24230;&#19987;&#21033;&#24773;&#20917;&#32479;&#35745;\CNKI-2024&#31532;&#19968;&#23395;&#24230;&#19987;&#21033;&#25968;&#25454;.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4.&#31185;&#30740;&#25104;&#26524;&#20998;&#26512;&#25253;&#21578;\2.&#26085;&#24120;&#24037;&#20316;--&#19987;&#21033;&#20998;&#26512;&#25253;&#21578;\2024&#31532;&#19968;&#23395;&#24230;&#19987;&#21033;&#24773;&#20917;&#32479;&#35745;\CNKI-2024&#31532;&#19968;&#23395;&#24230;&#19987;&#21033;&#25968;&#25454;.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2.&#26085;&#24120;&#24037;&#20316;--&#19987;&#21033;&#20998;&#26512;&#25253;&#21578;\2024&#31532;&#19968;&#23395;&#24230;&#19987;&#21033;&#24773;&#20917;&#32479;&#35745;\CNKI-2024&#31532;&#19968;&#23395;&#24230;&#19987;&#21033;&#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en-US"/>
              <a:t>专利总体趋势</a:t>
            </a:r>
            <a:endParaRPr lang="en-US" altLang="zh-CN"/>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'[CNKI-2024第一季度专利数据.xlsx]1专利数量'!$A$2:$A$4</c:f>
              <c:numCache>
                <c:formatCode>yyyy"年"m"月"</c:formatCode>
                <c:ptCount val="3"/>
                <c:pt idx="0" c:formatCode="yyyy&quot;年&quot;m&quot;月&quot;">
                  <c:v>45292</c:v>
                </c:pt>
                <c:pt idx="1" c:formatCode="yyyy&quot;年&quot;m&quot;月&quot;">
                  <c:v>45323</c:v>
                </c:pt>
                <c:pt idx="2" c:formatCode="yyyy&quot;年&quot;m&quot;月&quot;">
                  <c:v>45352</c:v>
                </c:pt>
              </c:numCache>
            </c:numRef>
          </c:cat>
          <c:val>
            <c:numRef>
              <c:f>'[CNKI-2024第一季度专利数据.xlsx]1专利数量'!$B$2:$B$4</c:f>
              <c:numCache>
                <c:formatCode>General</c:formatCode>
                <c:ptCount val="3"/>
                <c:pt idx="0">
                  <c:v>12</c:v>
                </c:pt>
                <c:pt idx="1">
                  <c:v>6</c:v>
                </c:pt>
                <c:pt idx="2">
                  <c:v>9</c:v>
                </c:pt>
              </c:numCache>
            </c:numRef>
          </c:val>
          <c:smooth val="0"/>
        </c:ser>
        <c:dLbls>
          <c:showLegendKey val="0"/>
          <c:showVal val="1"/>
          <c:showCatName val="0"/>
          <c:showSerName val="0"/>
          <c:showPercent val="0"/>
          <c:showBubbleSize val="0"/>
        </c:dLbls>
        <c:marker val="0"/>
        <c:smooth val="0"/>
        <c:axId val="756997600"/>
        <c:axId val="129862704"/>
      </c:lineChart>
      <c:dateAx>
        <c:axId val="756997600"/>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862704"/>
        <c:crosses val="autoZero"/>
        <c:auto val="1"/>
        <c:lblOffset val="100"/>
        <c:baseTimeUnit val="months"/>
      </c:dateAx>
      <c:valAx>
        <c:axId val="12986270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699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专利类别</a:t>
            </a:r>
          </a:p>
        </c:rich>
      </c:tx>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'[CNKI-2024第一季度专利数据.xlsx]2专利类别'!$F$2:$F$4</c:f>
              <c:strCache>
                <c:ptCount val="3"/>
                <c:pt idx="0">
                  <c:v>发明公开</c:v>
                </c:pt>
                <c:pt idx="1">
                  <c:v>发明授权</c:v>
                </c:pt>
                <c:pt idx="2">
                  <c:v>实用新型</c:v>
                </c:pt>
              </c:strCache>
            </c:strRef>
          </c:cat>
          <c:val>
            <c:numRef>
              <c:f>'[CNKI-2024第一季度专利数据.xlsx]2专利类别'!$G$2:$G$4</c:f>
              <c:numCache>
                <c:formatCode>General</c:formatCode>
                <c:ptCount val="3"/>
                <c:pt idx="0">
                  <c:v>14</c:v>
                </c:pt>
                <c:pt idx="1">
                  <c:v>10</c:v>
                </c:pt>
                <c:pt idx="2">
                  <c:v>3</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学科分布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'[CNKI-2024第一季度专利数据.xlsx]3学科分析'!$F$2:$F$15</c:f>
              <c:strCache>
                <c:ptCount val="14"/>
                <c:pt idx="0">
                  <c:v>轻工业手工业</c:v>
                </c:pt>
                <c:pt idx="1">
                  <c:v>化学</c:v>
                </c:pt>
                <c:pt idx="2">
                  <c:v>生物学</c:v>
                </c:pt>
                <c:pt idx="3">
                  <c:v>植物保护</c:v>
                </c:pt>
                <c:pt idx="4">
                  <c:v>建筑科学与工程</c:v>
                </c:pt>
                <c:pt idx="5">
                  <c:v>畜牧与动物医学</c:v>
                </c:pt>
                <c:pt idx="6">
                  <c:v>有机化工</c:v>
                </c:pt>
                <c:pt idx="7">
                  <c:v>环境科学与资源利用</c:v>
                </c:pt>
                <c:pt idx="8">
                  <c:v>冶金工业</c:v>
                </c:pt>
                <c:pt idx="9">
                  <c:v>金属学及金属工艺</c:v>
                </c:pt>
                <c:pt idx="10">
                  <c:v>生物医学工程</c:v>
                </c:pt>
                <c:pt idx="11">
                  <c:v>材料科学</c:v>
                </c:pt>
                <c:pt idx="12">
                  <c:v>农艺学</c:v>
                </c:pt>
                <c:pt idx="13">
                  <c:v>中药学</c:v>
                </c:pt>
              </c:strCache>
            </c:strRef>
          </c:cat>
          <c:val>
            <c:numRef>
              <c:f>'[CNKI-2024第一季度专利数据.xlsx]3学科分析'!$G$2:$G$15</c:f>
              <c:numCache>
                <c:formatCode>General</c:formatCode>
                <c:ptCount val="14"/>
                <c:pt idx="0">
                  <c:v>6</c:v>
                </c:pt>
                <c:pt idx="1">
                  <c:v>4</c:v>
                </c:pt>
                <c:pt idx="2">
                  <c:v>4</c:v>
                </c:pt>
                <c:pt idx="3">
                  <c:v>3</c:v>
                </c:pt>
                <c:pt idx="4">
                  <c:v>2</c:v>
                </c:pt>
                <c:pt idx="5">
                  <c:v>2</c:v>
                </c:pt>
                <c:pt idx="6">
                  <c:v>2</c:v>
                </c:pt>
                <c:pt idx="7">
                  <c:v>1</c:v>
                </c:pt>
                <c:pt idx="8">
                  <c:v>1</c:v>
                </c:pt>
                <c:pt idx="9">
                  <c:v>1</c:v>
                </c:pt>
                <c:pt idx="10">
                  <c:v>1</c:v>
                </c:pt>
                <c:pt idx="11">
                  <c:v>1</c:v>
                </c:pt>
                <c:pt idx="12">
                  <c:v>1</c:v>
                </c:pt>
                <c:pt idx="13">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主要主题分布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'[CNKI-2024第一季度专利数据.xlsx]4主题词分析'!$E$2:$E$41</c:f>
              <c:strCache>
                <c:ptCount val="40"/>
                <c:pt idx="0">
                  <c:v>制备方法</c:v>
                </c:pt>
                <c:pt idx="1">
                  <c:v>筛选方法</c:v>
                </c:pt>
                <c:pt idx="2">
                  <c:v>钢板剪力墙</c:v>
                </c:pt>
                <c:pt idx="3">
                  <c:v>发酵菌种</c:v>
                </c:pt>
                <c:pt idx="4">
                  <c:v>北仓术</c:v>
                </c:pt>
                <c:pt idx="5">
                  <c:v>抑菌剂</c:v>
                </c:pt>
                <c:pt idx="6">
                  <c:v>前处理方法</c:v>
                </c:pt>
                <c:pt idx="7">
                  <c:v>养殖管理</c:v>
                </c:pt>
                <c:pt idx="8">
                  <c:v>制备工艺</c:v>
                </c:pt>
                <c:pt idx="9">
                  <c:v>醇提物</c:v>
                </c:pt>
                <c:pt idx="10">
                  <c:v>改良设计</c:v>
                </c:pt>
                <c:pt idx="11">
                  <c:v>纤维毡</c:v>
                </c:pt>
                <c:pt idx="12">
                  <c:v>提取方法</c:v>
                </c:pt>
                <c:pt idx="13">
                  <c:v>可移动</c:v>
                </c:pt>
                <c:pt idx="14">
                  <c:v>方法和应用</c:v>
                </c:pt>
                <c:pt idx="15">
                  <c:v>肉鸡场</c:v>
                </c:pt>
                <c:pt idx="16">
                  <c:v>大豆酶解蛋白</c:v>
                </c:pt>
                <c:pt idx="17">
                  <c:v>板栗奶</c:v>
                </c:pt>
                <c:pt idx="18">
                  <c:v>方法及应用</c:v>
                </c:pt>
                <c:pt idx="19">
                  <c:v>板栗仁</c:v>
                </c:pt>
                <c:pt idx="20">
                  <c:v>降血糖</c:v>
                </c:pt>
                <c:pt idx="21">
                  <c:v>数值范围</c:v>
                </c:pt>
                <c:pt idx="22">
                  <c:v>消毒装置</c:v>
                </c:pt>
                <c:pt idx="23">
                  <c:v>RT-RAA</c:v>
                </c:pt>
                <c:pt idx="24">
                  <c:v>纳豆菌</c:v>
                </c:pt>
                <c:pt idx="25">
                  <c:v>饮水免疫</c:v>
                </c:pt>
                <c:pt idx="26">
                  <c:v>铜材料</c:v>
                </c:pt>
                <c:pt idx="27">
                  <c:v>提取纯化</c:v>
                </c:pt>
                <c:pt idx="28">
                  <c:v>清洗设备</c:v>
                </c:pt>
                <c:pt idx="29">
                  <c:v>发酵饮料</c:v>
                </c:pt>
                <c:pt idx="30">
                  <c:v>牛呼吸道合胞体病毒</c:v>
                </c:pt>
                <c:pt idx="31">
                  <c:v>密封环</c:v>
                </c:pt>
                <c:pt idx="32">
                  <c:v>二价铁离子</c:v>
                </c:pt>
                <c:pt idx="33">
                  <c:v>检测引物</c:v>
                </c:pt>
                <c:pt idx="34">
                  <c:v>双金属</c:v>
                </c:pt>
                <c:pt idx="35">
                  <c:v>智能眼镜</c:v>
                </c:pt>
                <c:pt idx="36">
                  <c:v>农业害虫</c:v>
                </c:pt>
                <c:pt idx="37">
                  <c:v>广谱性</c:v>
                </c:pt>
                <c:pt idx="38">
                  <c:v>酶解工艺</c:v>
                </c:pt>
                <c:pt idx="39">
                  <c:v>板栗苞</c:v>
                </c:pt>
              </c:strCache>
            </c:strRef>
          </c:cat>
          <c:val>
            <c:numRef>
              <c:f>'[CNKI-2024第一季度专利数据.xlsx]4主题词分析'!$F$2:$F$41</c:f>
              <c:numCache>
                <c:formatCode>General</c:formatCode>
                <c:ptCount val="40"/>
                <c:pt idx="0">
                  <c:v>7</c:v>
                </c:pt>
                <c:pt idx="1">
                  <c:v>2</c:v>
                </c:pt>
                <c:pt idx="2">
                  <c:v>2</c:v>
                </c:pt>
                <c:pt idx="3">
                  <c:v>2</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numCache>
            </c:numRef>
          </c:val>
        </c:ser>
        <c:dLbls>
          <c:showLegendKey val="0"/>
          <c:showVal val="1"/>
          <c:showCatName val="0"/>
          <c:showSerName val="0"/>
          <c:showPercent val="0"/>
          <c:showBubbleSize val="0"/>
        </c:dLbls>
        <c:gapWidth val="246"/>
        <c:overlap val="-28"/>
        <c:axId val="486981126"/>
        <c:axId val="570282573"/>
      </c:barChart>
      <c:catAx>
        <c:axId val="48698112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0282573"/>
        <c:crosses val="autoZero"/>
        <c:auto val="1"/>
        <c:lblAlgn val="ctr"/>
        <c:lblOffset val="100"/>
        <c:noMultiLvlLbl val="0"/>
      </c:catAx>
      <c:valAx>
        <c:axId val="5702825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698112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次要主题分布</a:t>
            </a:r>
          </a:p>
        </c:rich>
      </c:tx>
      <c:layout>
        <c:manualLayout>
          <c:xMode val="edge"/>
          <c:yMode val="edge"/>
          <c:x val="0.416447368421053"/>
          <c:y val="0.0277777777777778"/>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'[CNKI-2024第一季度专利数据.xlsx]4主题词分析'!$M$2:$M$41</c:f>
              <c:strCache>
                <c:ptCount val="40"/>
                <c:pt idx="0">
                  <c:v>固定连接</c:v>
                </c:pt>
                <c:pt idx="1">
                  <c:v>提取液</c:v>
                </c:pt>
                <c:pt idx="2">
                  <c:v>体积浓度</c:v>
                </c:pt>
                <c:pt idx="3">
                  <c:v>α-淀粉</c:v>
                </c:pt>
                <c:pt idx="4">
                  <c:v>比表面积</c:v>
                </c:pt>
                <c:pt idx="5">
                  <c:v>亚洲玉米螟</c:v>
                </c:pt>
                <c:pt idx="6">
                  <c:v>断奶仔猪</c:v>
                </c:pt>
                <c:pt idx="7">
                  <c:v>植物病原菌</c:v>
                </c:pt>
                <c:pt idx="8">
                  <c:v>麦长管蚜</c:v>
                </c:pt>
                <c:pt idx="9">
                  <c:v>酒酒球菌</c:v>
                </c:pt>
                <c:pt idx="10">
                  <c:v>细颗粒</c:v>
                </c:pt>
                <c:pt idx="11">
                  <c:v>砂磨机</c:v>
                </c:pt>
                <c:pt idx="12">
                  <c:v>加压泵</c:v>
                </c:pt>
                <c:pt idx="13">
                  <c:v>催化性能</c:v>
                </c:pt>
                <c:pt idx="14">
                  <c:v>多孔结构</c:v>
                </c:pt>
                <c:pt idx="15">
                  <c:v>降解效率</c:v>
                </c:pt>
                <c:pt idx="16">
                  <c:v>示意图</c:v>
                </c:pt>
                <c:pt idx="17">
                  <c:v>吊装过程</c:v>
                </c:pt>
                <c:pt idx="18">
                  <c:v>闪蒸罐</c:v>
                </c:pt>
                <c:pt idx="19">
                  <c:v>氨基酸组成</c:v>
                </c:pt>
                <c:pt idx="20">
                  <c:v>碳酸钠</c:v>
                </c:pt>
                <c:pt idx="21">
                  <c:v>安装过程</c:v>
                </c:pt>
                <c:pt idx="22">
                  <c:v>板栗仁</c:v>
                </c:pt>
                <c:pt idx="23">
                  <c:v>驱动电机</c:v>
                </c:pt>
                <c:pt idx="24">
                  <c:v>传送带</c:v>
                </c:pt>
                <c:pt idx="25">
                  <c:v>黄原胶</c:v>
                </c:pt>
                <c:pt idx="26">
                  <c:v>醇溶液</c:v>
                </c:pt>
                <c:pt idx="27">
                  <c:v>保护气氛</c:v>
                </c:pt>
                <c:pt idx="28">
                  <c:v>人工胃肠液</c:v>
                </c:pt>
                <c:pt idx="29">
                  <c:v>酚类物质</c:v>
                </c:pt>
                <c:pt idx="30">
                  <c:v>夹持组件</c:v>
                </c:pt>
                <c:pt idx="31">
                  <c:v>锥齿轮</c:v>
                </c:pt>
                <c:pt idx="32">
                  <c:v>碳酸二乙酯</c:v>
                </c:pt>
                <c:pt idx="33">
                  <c:v>柠檬酸钠</c:v>
                </c:pt>
                <c:pt idx="34">
                  <c:v>中性蛋白酶</c:v>
                </c:pt>
                <c:pt idx="35">
                  <c:v>浸提液</c:v>
                </c:pt>
                <c:pt idx="36">
                  <c:v>永磁起重器</c:v>
                </c:pt>
                <c:pt idx="37">
                  <c:v>肠道结构</c:v>
                </c:pt>
                <c:pt idx="38">
                  <c:v>胶粘带</c:v>
                </c:pt>
                <c:pt idx="39">
                  <c:v>板栗苞</c:v>
                </c:pt>
              </c:strCache>
            </c:strRef>
          </c:cat>
          <c:val>
            <c:numRef>
              <c:f>'[CNKI-2024第一季度专利数据.xlsx]4主题词分析'!$N$2:$N$41</c:f>
              <c:numCache>
                <c:formatCode>General</c:formatCode>
                <c:ptCount val="40"/>
                <c:pt idx="0">
                  <c:v>2</c:v>
                </c:pt>
                <c:pt idx="1">
                  <c:v>2</c:v>
                </c:pt>
                <c:pt idx="2">
                  <c:v>2</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numCache>
            </c:numRef>
          </c:val>
        </c:ser>
        <c:dLbls>
          <c:showLegendKey val="0"/>
          <c:showVal val="1"/>
          <c:showCatName val="0"/>
          <c:showSerName val="0"/>
          <c:showPercent val="0"/>
          <c:showBubbleSize val="0"/>
        </c:dLbls>
        <c:gapWidth val="246"/>
        <c:overlap val="-28"/>
        <c:axId val="473116038"/>
        <c:axId val="896192754"/>
      </c:barChart>
      <c:catAx>
        <c:axId val="47311603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6192754"/>
        <c:crosses val="autoZero"/>
        <c:auto val="1"/>
        <c:lblAlgn val="ctr"/>
        <c:lblOffset val="100"/>
        <c:noMultiLvlLbl val="0"/>
      </c:catAx>
      <c:valAx>
        <c:axId val="89619275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311603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技术领域与产业构成分布</a:t>
            </a:r>
          </a:p>
        </c:rich>
      </c:tx>
      <c:layout>
        <c:manualLayout>
          <c:xMode val="edge"/>
          <c:yMode val="edge"/>
          <c:x val="0.2625"/>
          <c:y val="0.0381944444444444"/>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'[CNKI-2024第一季度专利数据.xlsx]6IPC'!$D$3:$D$14</c:f>
              <c:strCache>
                <c:ptCount val="12"/>
                <c:pt idx="0">
                  <c:v>A01</c:v>
                </c:pt>
                <c:pt idx="1">
                  <c:v>A23</c:v>
                </c:pt>
                <c:pt idx="2">
                  <c:v>C12</c:v>
                </c:pt>
                <c:pt idx="3">
                  <c:v>B01</c:v>
                </c:pt>
                <c:pt idx="4">
                  <c:v>A61</c:v>
                </c:pt>
                <c:pt idx="5">
                  <c:v>B22</c:v>
                </c:pt>
                <c:pt idx="6">
                  <c:v>B23</c:v>
                </c:pt>
                <c:pt idx="7">
                  <c:v>B65</c:v>
                </c:pt>
                <c:pt idx="8">
                  <c:v>C07</c:v>
                </c:pt>
                <c:pt idx="9">
                  <c:v>E04</c:v>
                </c:pt>
                <c:pt idx="10">
                  <c:v>G01</c:v>
                </c:pt>
                <c:pt idx="11">
                  <c:v>G02</c:v>
                </c:pt>
              </c:strCache>
            </c:strRef>
          </c:cat>
          <c:val>
            <c:numRef>
              <c:f>'[CNKI-2024第一季度专利数据.xlsx]6IPC'!$E$3:$E$14</c:f>
              <c:numCache>
                <c:formatCode>General</c:formatCode>
                <c:ptCount val="12"/>
                <c:pt idx="0">
                  <c:v>5</c:v>
                </c:pt>
                <c:pt idx="1">
                  <c:v>5</c:v>
                </c:pt>
                <c:pt idx="2">
                  <c:v>5</c:v>
                </c:pt>
                <c:pt idx="3">
                  <c:v>3</c:v>
                </c:pt>
                <c:pt idx="4">
                  <c:v>2</c:v>
                </c:pt>
                <c:pt idx="5">
                  <c:v>1</c:v>
                </c:pt>
                <c:pt idx="6">
                  <c:v>1</c:v>
                </c:pt>
                <c:pt idx="7">
                  <c:v>1</c:v>
                </c:pt>
                <c:pt idx="8">
                  <c:v>1</c:v>
                </c:pt>
                <c:pt idx="9">
                  <c:v>1</c:v>
                </c:pt>
                <c:pt idx="10">
                  <c:v>1</c:v>
                </c:pt>
                <c:pt idx="11">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申请机构分布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'[CNKI-2024第一季度专利数据.xlsx]7申请机构'!$D$1:$D$2</c:f>
              <c:strCache>
                <c:ptCount val="2"/>
                <c:pt idx="0" c:formatCode="@">
                  <c:v>河北科技师范学院</c:v>
                </c:pt>
                <c:pt idx="1" c:formatCode="@">
                  <c:v>河北科技师范学院+其他</c:v>
                </c:pt>
              </c:strCache>
            </c:strRef>
          </c:cat>
          <c:val>
            <c:numRef>
              <c:f>'[CNKI-2024第一季度专利数据.xlsx]7申请机构'!$E$1:$E$2</c:f>
              <c:numCache>
                <c:formatCode>General</c:formatCode>
                <c:ptCount val="2"/>
                <c:pt idx="0">
                  <c:v>22</c:v>
                </c:pt>
                <c:pt idx="1">
                  <c:v>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10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Pages>
  <Words>1854</Words>
  <Characters>2014</Characters>
  <Lines>20</Lines>
  <Paragraphs>5</Paragraphs>
  <TotalTime>10</TotalTime>
  <ScaleCrop>false</ScaleCrop>
  <LinksUpToDate>false</LinksUpToDate>
  <CharactersWithSpaces>2066</CharactersWithSpaces>
  <Application>WPS Office_12.1.0.16894_F1E327BC-269C-435d-A152-05C5408002CA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2023-04-12T00:41:00Z</dcterms:created>
  <dc:creator>Administrator</dc:creator>
  <cp:lastModifiedBy>Administrator</cp:lastModifiedBy>
  <dcterms:modified xsi:type="dcterms:W3CDTF">2024-04-29T03:17:49Z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2052-12.1.0.16894</vt:lpwstr>
  </property>
  <property fmtid="{D5CDD505-2E9C-101B-9397-08002B2CF9AE}" pid="3" name="ICV">
    <vt:lpwstr>55800B5F88B5493DA75F3E47F422650E_13</vt:lpwstr>
  </property>
</Properties>
</file>