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16C24D">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3CB54CA">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3CB54CA">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461DD92F">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461DD92F">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528FB04C">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rq7M6zgCAAB1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7"/>
                <v:stroke on="f" weight="1pt"/>
                <v:imagedata o:title=""/>
                <o:lock v:ext="edit" aspectratio="f"/>
                <v:textbox>
                  <w:txbxContent>
                    <w:p w14:paraId="528FB04C">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2025年第三季度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2025年第三季度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4689211B">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4689211B">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74AE8FD3">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74AE8FD3">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6C324E6">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C9A1163">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17C62E47">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10</w:t>
      </w:r>
      <w:r>
        <w:rPr>
          <w:rFonts w:ascii="仿宋" w:hAnsi="仿宋" w:eastAsia="仿宋" w:cs="仿宋"/>
          <w:sz w:val="28"/>
          <w:szCs w:val="28"/>
        </w:rPr>
        <w:t>月</w:t>
      </w:r>
      <w:r>
        <w:rPr>
          <w:rFonts w:hint="eastAsia" w:ascii="仿宋" w:hAnsi="仿宋" w:eastAsia="仿宋" w:cs="仿宋"/>
          <w:sz w:val="28"/>
          <w:szCs w:val="28"/>
          <w:lang w:val="en-US" w:eastAsia="zh-CN"/>
        </w:rPr>
        <w:t>10</w:t>
      </w:r>
      <w:r>
        <w:rPr>
          <w:rFonts w:ascii="仿宋" w:hAnsi="仿宋" w:eastAsia="仿宋" w:cs="仿宋"/>
          <w:sz w:val="28"/>
          <w:szCs w:val="28"/>
        </w:rPr>
        <w:t>日。</w:t>
      </w:r>
    </w:p>
    <w:p w14:paraId="34686292">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10</w:t>
      </w:r>
      <w:r>
        <w:rPr>
          <w:rFonts w:ascii="仿宋" w:hAnsi="仿宋" w:eastAsia="仿宋" w:cs="仿宋"/>
          <w:sz w:val="28"/>
          <w:szCs w:val="28"/>
        </w:rPr>
        <w:t>月</w:t>
      </w:r>
      <w:r>
        <w:rPr>
          <w:rFonts w:hint="eastAsia" w:ascii="仿宋" w:hAnsi="仿宋" w:eastAsia="仿宋" w:cs="仿宋"/>
          <w:sz w:val="28"/>
          <w:szCs w:val="28"/>
          <w:lang w:val="en-US" w:eastAsia="zh-CN"/>
        </w:rPr>
        <w:t>15</w:t>
      </w:r>
      <w:r>
        <w:rPr>
          <w:rFonts w:ascii="仿宋" w:hAnsi="仿宋" w:eastAsia="仿宋" w:cs="仿宋"/>
          <w:sz w:val="28"/>
          <w:szCs w:val="28"/>
        </w:rPr>
        <w:t>日。</w:t>
      </w:r>
    </w:p>
    <w:p w14:paraId="7F080B82">
      <w:pPr>
        <w:spacing w:line="480" w:lineRule="auto"/>
        <w:outlineLvl w:val="0"/>
        <w:rPr>
          <w:rFonts w:hint="default" w:ascii="仿宋" w:hAnsi="仿宋" w:eastAsia="仿宋" w:cs="仿宋"/>
          <w:sz w:val="28"/>
          <w:szCs w:val="28"/>
        </w:rPr>
      </w:pPr>
      <w:bookmarkStart w:id="0" w:name="_Toc9874"/>
      <w:bookmarkStart w:id="1" w:name="_Toc9203"/>
      <w:bookmarkStart w:id="2" w:name="_Toc31217"/>
      <w:bookmarkStart w:id="3" w:name="_Toc5625"/>
      <w:bookmarkStart w:id="4" w:name="_Toc20858"/>
      <w:r>
        <w:rPr>
          <w:rFonts w:ascii="仿宋" w:hAnsi="仿宋" w:eastAsia="仿宋" w:cs="仿宋"/>
          <w:b/>
          <w:bCs/>
          <w:sz w:val="28"/>
          <w:szCs w:val="28"/>
        </w:rPr>
        <w:t>数据处理</w:t>
      </w:r>
      <w:bookmarkEnd w:id="0"/>
      <w:bookmarkEnd w:id="1"/>
      <w:bookmarkEnd w:id="2"/>
      <w:bookmarkEnd w:id="3"/>
      <w:bookmarkEnd w:id="4"/>
    </w:p>
    <w:p w14:paraId="6005BF6C">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170FCF39">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2DCA648">
      <w:pPr>
        <w:spacing w:line="480" w:lineRule="auto"/>
        <w:jc w:val="left"/>
        <w:outlineLvl w:val="0"/>
        <w:rPr>
          <w:rFonts w:hint="default" w:ascii="仿宋" w:hAnsi="仿宋" w:eastAsia="仿宋" w:cs="仿宋"/>
          <w:sz w:val="28"/>
          <w:szCs w:val="28"/>
        </w:rPr>
      </w:pPr>
      <w:bookmarkStart w:id="5" w:name="_Toc11709"/>
      <w:bookmarkStart w:id="6" w:name="_Toc17869"/>
      <w:bookmarkStart w:id="7" w:name="_Toc3908"/>
      <w:bookmarkStart w:id="8" w:name="_Toc29516"/>
      <w:bookmarkStart w:id="9" w:name="_Toc25482"/>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7064E758">
      <w:pPr>
        <w:spacing w:line="480" w:lineRule="auto"/>
        <w:jc w:val="left"/>
        <w:outlineLvl w:val="0"/>
        <w:rPr>
          <w:rFonts w:ascii="仿宋" w:hAnsi="仿宋" w:eastAsia="仿宋" w:cs="仿宋"/>
          <w:sz w:val="28"/>
          <w:szCs w:val="28"/>
        </w:rPr>
      </w:pPr>
      <w:bookmarkStart w:id="10" w:name="_Toc2529"/>
      <w:bookmarkStart w:id="11" w:name="_Toc6044"/>
      <w:bookmarkStart w:id="12" w:name="_Toc5698"/>
      <w:bookmarkStart w:id="13" w:name="_Toc10280"/>
      <w:bookmarkStart w:id="14" w:name="_Toc27907"/>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0A834443">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60C93723">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037525B">
      <w:pPr>
        <w:adjustRightInd/>
        <w:spacing w:line="240" w:lineRule="atLeast"/>
        <w:rPr>
          <w:rFonts w:hint="default" w:ascii="仿宋" w:hAnsi="仿宋" w:eastAsia="仿宋" w:cs="仿宋"/>
          <w:sz w:val="28"/>
          <w:szCs w:val="28"/>
        </w:rPr>
      </w:pPr>
    </w:p>
    <w:p w14:paraId="486F734F">
      <w:pPr>
        <w:rPr>
          <w:rFonts w:hint="default"/>
        </w:rPr>
      </w:pPr>
    </w:p>
    <w:p w14:paraId="0B7555F9">
      <w:pPr>
        <w:rPr>
          <w:rFonts w:hint="default"/>
        </w:rPr>
      </w:pPr>
    </w:p>
    <w:p w14:paraId="3916E68A">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30B35281">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0DFF52AB">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3310017D">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1F625029">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09CC71E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1EE12BD">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w:t>
          </w:r>
          <w:r>
            <w:rPr>
              <w:rFonts w:hint="eastAsia" w:ascii="宋体" w:hAnsi="宋体" w:cs="宋体"/>
              <w:bCs/>
              <w:sz w:val="24"/>
              <w:lang w:val="en-US" w:eastAsia="zh-CN"/>
            </w:rPr>
            <w:t>关键词</w:t>
          </w:r>
          <w:r>
            <w:rPr>
              <w:rFonts w:hint="eastAsia" w:ascii="宋体" w:hAnsi="宋体" w:cs="宋体"/>
              <w:bCs/>
              <w:sz w:val="24"/>
            </w:rPr>
            <w:t>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19E2B08C">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539AA474">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2EA30407">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2C384988">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6EFF5D51">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574FB2A2">
          <w:pPr>
            <w:pStyle w:val="12"/>
            <w:tabs>
              <w:tab w:val="right" w:leader="dot" w:pos="8306"/>
            </w:tabs>
            <w:rPr>
              <w:b/>
            </w:rPr>
          </w:pPr>
        </w:p>
        <w:p w14:paraId="44EB9106">
          <w:pPr>
            <w:rPr>
              <w:rFonts w:hint="default"/>
            </w:rPr>
          </w:pPr>
          <w:r>
            <w:rPr>
              <w:b/>
            </w:rPr>
            <w:fldChar w:fldCharType="end"/>
          </w:r>
        </w:p>
      </w:sdtContent>
    </w:sdt>
    <w:p w14:paraId="0E23471B">
      <w:pPr>
        <w:jc w:val="center"/>
        <w:outlineLvl w:val="0"/>
        <w:rPr>
          <w:rFonts w:hint="default" w:ascii="黑体" w:hAnsi="黑体" w:eastAsia="黑体" w:cs="黑体"/>
          <w:b/>
          <w:bCs/>
          <w:sz w:val="44"/>
          <w:szCs w:val="44"/>
        </w:rPr>
      </w:pPr>
      <w:bookmarkStart w:id="15" w:name="_Toc30326"/>
      <w:bookmarkStart w:id="16" w:name="_Toc10728"/>
      <w:bookmarkStart w:id="17" w:name="_Toc10867"/>
      <w:bookmarkStart w:id="18" w:name="_Toc23538"/>
      <w:bookmarkStart w:id="19" w:name="_Toc32336"/>
      <w:bookmarkStart w:id="20" w:name="_Toc10613"/>
    </w:p>
    <w:p w14:paraId="3251DCC9">
      <w:pPr>
        <w:jc w:val="center"/>
        <w:outlineLvl w:val="0"/>
        <w:rPr>
          <w:rFonts w:hint="default" w:ascii="黑体" w:hAnsi="黑体" w:eastAsia="黑体" w:cs="黑体"/>
          <w:b/>
          <w:bCs/>
          <w:sz w:val="44"/>
          <w:szCs w:val="44"/>
        </w:rPr>
      </w:pPr>
    </w:p>
    <w:p w14:paraId="75EF4737">
      <w:pPr>
        <w:jc w:val="center"/>
        <w:outlineLvl w:val="0"/>
        <w:rPr>
          <w:rFonts w:hint="default" w:ascii="黑体" w:hAnsi="黑体" w:eastAsia="黑体" w:cs="黑体"/>
          <w:b/>
          <w:bCs/>
          <w:sz w:val="44"/>
          <w:szCs w:val="44"/>
        </w:rPr>
      </w:pPr>
    </w:p>
    <w:p w14:paraId="3E3FCB62">
      <w:pPr>
        <w:jc w:val="center"/>
        <w:outlineLvl w:val="0"/>
        <w:rPr>
          <w:rFonts w:hint="default" w:ascii="黑体" w:hAnsi="黑体" w:eastAsia="黑体" w:cs="黑体"/>
          <w:b/>
          <w:bCs/>
          <w:sz w:val="44"/>
          <w:szCs w:val="44"/>
        </w:rPr>
      </w:pPr>
    </w:p>
    <w:p w14:paraId="26C2CAB6">
      <w:pPr>
        <w:jc w:val="center"/>
        <w:outlineLvl w:val="0"/>
        <w:rPr>
          <w:rFonts w:hint="default" w:ascii="黑体" w:hAnsi="黑体" w:eastAsia="黑体" w:cs="黑体"/>
          <w:b/>
          <w:bCs/>
          <w:sz w:val="44"/>
          <w:szCs w:val="44"/>
        </w:rPr>
      </w:pPr>
    </w:p>
    <w:p w14:paraId="622DFF10">
      <w:pPr>
        <w:jc w:val="center"/>
        <w:outlineLvl w:val="0"/>
        <w:rPr>
          <w:rFonts w:hint="default" w:ascii="黑体" w:hAnsi="黑体" w:eastAsia="黑体" w:cs="黑体"/>
          <w:b/>
          <w:bCs/>
          <w:sz w:val="44"/>
          <w:szCs w:val="44"/>
        </w:rPr>
      </w:pPr>
    </w:p>
    <w:p w14:paraId="02195D6D">
      <w:pPr>
        <w:jc w:val="center"/>
        <w:outlineLvl w:val="0"/>
        <w:rPr>
          <w:rFonts w:hint="default" w:ascii="黑体" w:hAnsi="黑体" w:eastAsia="黑体" w:cs="黑体"/>
          <w:b/>
          <w:bCs/>
          <w:sz w:val="44"/>
          <w:szCs w:val="44"/>
        </w:rPr>
      </w:pPr>
    </w:p>
    <w:p w14:paraId="383838D4">
      <w:pPr>
        <w:jc w:val="center"/>
        <w:outlineLvl w:val="0"/>
        <w:rPr>
          <w:rFonts w:hint="default" w:ascii="黑体" w:hAnsi="黑体" w:eastAsia="黑体" w:cs="黑体"/>
          <w:b/>
          <w:bCs/>
          <w:sz w:val="44"/>
          <w:szCs w:val="44"/>
        </w:rPr>
      </w:pPr>
    </w:p>
    <w:p w14:paraId="67B5E684">
      <w:pPr>
        <w:outlineLvl w:val="0"/>
        <w:rPr>
          <w:rFonts w:hint="default" w:ascii="黑体" w:hAnsi="黑体" w:eastAsia="黑体" w:cs="黑体"/>
          <w:b/>
          <w:bCs/>
          <w:sz w:val="44"/>
          <w:szCs w:val="44"/>
        </w:rPr>
      </w:pPr>
    </w:p>
    <w:p w14:paraId="706B00FC">
      <w:pPr>
        <w:jc w:val="center"/>
        <w:outlineLvl w:val="0"/>
        <w:rPr>
          <w:rFonts w:hint="default" w:ascii="黑体" w:hAnsi="黑体" w:eastAsia="黑体" w:cs="黑体"/>
          <w:b/>
          <w:bCs/>
          <w:sz w:val="44"/>
          <w:szCs w:val="44"/>
        </w:rPr>
      </w:pPr>
    </w:p>
    <w:p w14:paraId="7972530D">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1A9DEE75">
      <w:pPr>
        <w:jc w:val="center"/>
        <w:outlineLvl w:val="0"/>
        <w:rPr>
          <w:rFonts w:hint="default" w:ascii="黑体" w:hAnsi="黑体" w:eastAsia="黑体" w:cs="黑体"/>
          <w:b/>
          <w:bCs/>
          <w:sz w:val="32"/>
          <w:szCs w:val="32"/>
        </w:rPr>
      </w:pPr>
      <w:bookmarkStart w:id="21" w:name="_Toc9198"/>
      <w:bookmarkStart w:id="22" w:name="_Toc23731"/>
      <w:bookmarkStart w:id="23" w:name="_Toc23894"/>
      <w:bookmarkStart w:id="24" w:name="_Toc29920"/>
      <w:bookmarkStart w:id="25" w:name="_Toc18557"/>
      <w:bookmarkStart w:id="26" w:name="_Toc8609"/>
      <w:r>
        <w:rPr>
          <w:rFonts w:hint="eastAsia" w:ascii="黑体" w:hAnsi="黑体" w:eastAsia="黑体" w:cs="黑体"/>
          <w:b/>
          <w:bCs/>
          <w:sz w:val="44"/>
          <w:szCs w:val="44"/>
          <w:lang w:eastAsia="zh-CN"/>
        </w:rPr>
        <w:t>2025年第三季度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624417D2">
      <w:pPr>
        <w:spacing w:line="720" w:lineRule="auto"/>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3EBACC8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2025年第三季度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40</w:t>
      </w:r>
      <w:r>
        <w:rPr>
          <w:rFonts w:ascii="仿宋" w:hAnsi="仿宋" w:eastAsia="仿宋" w:cs="仿宋"/>
          <w:sz w:val="28"/>
          <w:szCs w:val="28"/>
        </w:rPr>
        <w:t>件，具体分布情况见表1。</w:t>
      </w:r>
      <w:r>
        <w:rPr>
          <w:rFonts w:hint="eastAsia" w:ascii="仿宋" w:hAnsi="仿宋" w:eastAsia="仿宋" w:cs="仿宋"/>
          <w:sz w:val="28"/>
          <w:szCs w:val="28"/>
          <w:lang w:eastAsia="zh-CN"/>
        </w:rPr>
        <w:t>2025年第三季度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w:t>
      </w:r>
      <w:r>
        <w:rPr>
          <w:rFonts w:hint="eastAsia" w:ascii="仿宋" w:hAnsi="仿宋" w:eastAsia="仿宋" w:cs="仿宋"/>
          <w:sz w:val="28"/>
          <w:szCs w:val="28"/>
          <w:lang w:eastAsia="zh-CN"/>
        </w:rPr>
        <w:t>2025年</w:t>
      </w:r>
      <w:r>
        <w:rPr>
          <w:rFonts w:hint="eastAsia" w:ascii="仿宋" w:hAnsi="仿宋" w:eastAsia="仿宋" w:cs="仿宋"/>
          <w:sz w:val="28"/>
          <w:szCs w:val="28"/>
          <w:lang w:val="en-US" w:eastAsia="zh-CN"/>
        </w:rPr>
        <w:t>8</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22E0A40B">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55F54293">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E0D647F">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7E23986B">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329A7CB8">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AA838C1">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2025年7月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FD7D583">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8</w:t>
            </w:r>
          </w:p>
        </w:tc>
      </w:tr>
      <w:tr w14:paraId="223C7323">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FAAA7E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2025年8月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DF436A">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w:t>
            </w:r>
          </w:p>
        </w:tc>
      </w:tr>
      <w:tr w14:paraId="7AACEC7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15A5F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2025年9月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571E6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12</w:t>
            </w:r>
          </w:p>
        </w:tc>
      </w:tr>
      <w:tr w14:paraId="077FE6E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E82B145">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084FE92">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40</w:t>
            </w:r>
          </w:p>
        </w:tc>
      </w:tr>
    </w:tbl>
    <w:p w14:paraId="670DE823">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专利总体趋势</w:t>
      </w:r>
    </w:p>
    <w:p w14:paraId="0BBC6DF5">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1DDB9D">
      <w:pPr>
        <w:tabs>
          <w:tab w:val="left" w:pos="312"/>
        </w:tabs>
        <w:spacing w:line="600" w:lineRule="auto"/>
        <w:jc w:val="both"/>
        <w:rPr>
          <w:rFonts w:ascii="仿宋" w:hAnsi="仿宋" w:eastAsia="仿宋" w:cs="仿宋"/>
          <w:b/>
          <w:bCs/>
          <w:color w:val="000000"/>
          <w:sz w:val="24"/>
          <w:lang w:bidi="ar"/>
        </w:rPr>
      </w:pPr>
    </w:p>
    <w:p w14:paraId="5061EC6B">
      <w:pPr>
        <w:tabs>
          <w:tab w:val="left" w:pos="312"/>
        </w:tabs>
        <w:spacing w:line="720" w:lineRule="auto"/>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7D99A4B8">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26</w:t>
      </w:r>
      <w:r>
        <w:rPr>
          <w:rFonts w:ascii="仿宋" w:hAnsi="仿宋" w:eastAsia="仿宋" w:cs="仿宋"/>
          <w:sz w:val="28"/>
          <w:szCs w:val="28"/>
        </w:rPr>
        <w:t>件，发明授权专利</w:t>
      </w:r>
      <w:r>
        <w:rPr>
          <w:rFonts w:hint="eastAsia" w:ascii="仿宋" w:hAnsi="仿宋" w:eastAsia="仿宋" w:cs="仿宋"/>
          <w:sz w:val="28"/>
          <w:szCs w:val="28"/>
          <w:lang w:val="en-US" w:eastAsia="zh-CN"/>
        </w:rPr>
        <w:t>10</w:t>
      </w:r>
      <w:r>
        <w:rPr>
          <w:rFonts w:ascii="仿宋" w:hAnsi="仿宋" w:eastAsia="仿宋" w:cs="仿宋"/>
          <w:sz w:val="28"/>
          <w:szCs w:val="28"/>
        </w:rPr>
        <w:t>件，实用新型专利</w:t>
      </w:r>
      <w:r>
        <w:rPr>
          <w:rFonts w:hint="eastAsia" w:ascii="仿宋" w:hAnsi="仿宋" w:eastAsia="仿宋" w:cs="仿宋"/>
          <w:sz w:val="28"/>
          <w:szCs w:val="28"/>
          <w:lang w:val="en-US" w:eastAsia="zh-CN"/>
        </w:rPr>
        <w:t>4</w:t>
      </w:r>
      <w:r>
        <w:rPr>
          <w:rFonts w:ascii="仿宋" w:hAnsi="仿宋" w:eastAsia="仿宋" w:cs="仿宋"/>
          <w:sz w:val="28"/>
          <w:szCs w:val="28"/>
        </w:rPr>
        <w:t>件。我校</w:t>
      </w:r>
      <w:r>
        <w:rPr>
          <w:rFonts w:hint="eastAsia" w:ascii="仿宋" w:hAnsi="仿宋" w:eastAsia="仿宋" w:cs="仿宋"/>
          <w:sz w:val="28"/>
          <w:szCs w:val="28"/>
          <w:lang w:eastAsia="zh-CN"/>
        </w:rPr>
        <w:t>2025年第三季度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90</w:t>
      </w:r>
      <w:r>
        <w:rPr>
          <w:rFonts w:ascii="仿宋" w:hAnsi="仿宋" w:eastAsia="仿宋" w:cs="仿宋"/>
          <w:sz w:val="28"/>
          <w:szCs w:val="28"/>
        </w:rPr>
        <w:t>%，说明我校专利创新水平较高，研发能力也比较强，具体情况参见图2。</w:t>
      </w:r>
    </w:p>
    <w:p w14:paraId="639FD313">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专利类别分布</w:t>
      </w:r>
    </w:p>
    <w:p w14:paraId="5CDFE2CE">
      <w:pPr>
        <w:spacing w:line="600" w:lineRule="auto"/>
        <w:ind w:firstLine="420" w:firstLineChars="200"/>
        <w:jc w:val="center"/>
      </w:pPr>
      <w:r>
        <w:drawing>
          <wp:inline distT="0" distB="0" distL="114300" distR="114300">
            <wp:extent cx="4826000" cy="2743200"/>
            <wp:effectExtent l="4445" t="4445" r="825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9" w:name="_Toc12539"/>
    </w:p>
    <w:p w14:paraId="4ECF1FA2">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551284C0">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生物学9件，轻工业手工业7件，农艺学4件，计算机软件及计算机应用、工业通用技术及设备3件，</w:t>
      </w:r>
      <w:r>
        <w:rPr>
          <w:rFonts w:ascii="仿宋" w:hAnsi="仿宋" w:eastAsia="仿宋" w:cs="仿宋"/>
          <w:sz w:val="28"/>
          <w:szCs w:val="28"/>
        </w:rPr>
        <w:t>具体详情参见图3。</w:t>
      </w:r>
    </w:p>
    <w:p w14:paraId="53FD04E6">
      <w:pPr>
        <w:jc w:val="center"/>
        <w:rPr>
          <w:rFonts w:hint="default" w:ascii="仿宋" w:hAnsi="仿宋" w:eastAsia="仿宋" w:cs="仿宋"/>
          <w:b/>
          <w:bCs/>
          <w:sz w:val="24"/>
        </w:rPr>
      </w:pPr>
    </w:p>
    <w:p w14:paraId="7A7A8CF1">
      <w:pPr>
        <w:jc w:val="center"/>
        <w:rPr>
          <w:rFonts w:hint="default" w:ascii="仿宋" w:hAnsi="仿宋" w:eastAsia="仿宋" w:cs="仿宋"/>
          <w:b/>
          <w:bCs/>
          <w:sz w:val="24"/>
        </w:rPr>
      </w:pPr>
    </w:p>
    <w:p w14:paraId="1CF1B897">
      <w:pPr>
        <w:jc w:val="center"/>
        <w:rPr>
          <w:rFonts w:hint="default" w:ascii="仿宋" w:hAnsi="仿宋" w:eastAsia="仿宋" w:cs="仿宋"/>
          <w:b/>
          <w:bCs/>
          <w:sz w:val="24"/>
        </w:rPr>
      </w:pPr>
    </w:p>
    <w:p w14:paraId="081D7FFE">
      <w:pPr>
        <w:rPr>
          <w:rFonts w:hint="default" w:ascii="仿宋" w:hAnsi="仿宋" w:eastAsia="仿宋" w:cs="仿宋"/>
          <w:b/>
          <w:bCs/>
          <w:sz w:val="24"/>
        </w:rPr>
      </w:pPr>
    </w:p>
    <w:p w14:paraId="7EC32DC9">
      <w:pPr>
        <w:ind w:firstLine="1205" w:firstLineChars="500"/>
        <w:rPr>
          <w:rFonts w:ascii="仿宋" w:hAnsi="仿宋" w:eastAsia="仿宋" w:cs="仿宋"/>
          <w:b/>
          <w:bCs/>
          <w:sz w:val="24"/>
        </w:rPr>
      </w:pPr>
    </w:p>
    <w:p w14:paraId="4CB97F2C">
      <w:pPr>
        <w:rPr>
          <w:rFonts w:ascii="仿宋" w:hAnsi="仿宋" w:eastAsia="仿宋" w:cs="仿宋"/>
          <w:b/>
          <w:bCs/>
          <w:sz w:val="24"/>
        </w:rPr>
      </w:pPr>
    </w:p>
    <w:p w14:paraId="5F0EA5CE">
      <w:pPr>
        <w:spacing w:line="600" w:lineRule="auto"/>
        <w:rPr>
          <w:rFonts w:ascii="仿宋" w:hAnsi="仿宋" w:eastAsia="仿宋" w:cs="仿宋"/>
          <w:b/>
          <w:bCs/>
          <w:sz w:val="24"/>
        </w:rPr>
      </w:pPr>
    </w:p>
    <w:p w14:paraId="6D1A0883">
      <w:pPr>
        <w:spacing w:line="600" w:lineRule="auto"/>
        <w:jc w:val="center"/>
        <w:rPr>
          <w:rFonts w:ascii="仿宋" w:hAnsi="仿宋" w:eastAsia="仿宋" w:cs="仿宋"/>
          <w:b/>
          <w:bCs/>
          <w:color w:val="000000"/>
          <w:sz w:val="24"/>
          <w:lang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专利学科分布</w:t>
      </w:r>
    </w:p>
    <w:p w14:paraId="13714A0D">
      <w:pPr>
        <w:spacing w:line="600" w:lineRule="auto"/>
        <w:jc w:val="center"/>
        <w:rPr>
          <w:rFonts w:ascii="黑体" w:hAnsi="黑体" w:eastAsia="黑体" w:cs="黑体"/>
          <w:b/>
          <w:bCs/>
          <w:sz w:val="32"/>
          <w:szCs w:val="32"/>
        </w:rPr>
      </w:pPr>
      <w:r>
        <w:drawing>
          <wp:inline distT="0" distB="0" distL="114300" distR="114300">
            <wp:extent cx="4826000" cy="2743200"/>
            <wp:effectExtent l="4445" t="4445" r="8255" b="1460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0194C282">
      <w:pPr>
        <w:numPr>
          <w:ilvl w:val="0"/>
          <w:numId w:val="1"/>
        </w:numPr>
        <w:spacing w:line="720" w:lineRule="auto"/>
        <w:outlineLvl w:val="0"/>
        <w:rPr>
          <w:rFonts w:hint="default" w:ascii="黑体" w:hAnsi="黑体" w:eastAsia="黑体" w:cs="黑体"/>
          <w:b/>
          <w:bCs/>
          <w:sz w:val="32"/>
          <w:szCs w:val="32"/>
          <w:highlight w:val="none"/>
        </w:rPr>
      </w:pPr>
      <w:r>
        <w:rPr>
          <w:rFonts w:hint="eastAsia" w:ascii="黑体" w:hAnsi="黑体" w:eastAsia="黑体" w:cs="黑体"/>
          <w:b/>
          <w:bCs/>
          <w:sz w:val="32"/>
          <w:szCs w:val="32"/>
          <w:highlight w:val="none"/>
          <w:lang w:val="en-US" w:eastAsia="zh-CN"/>
        </w:rPr>
        <w:t>关键</w:t>
      </w:r>
      <w:r>
        <w:rPr>
          <w:rFonts w:ascii="黑体" w:hAnsi="黑体" w:eastAsia="黑体" w:cs="黑体"/>
          <w:b/>
          <w:bCs/>
          <w:sz w:val="32"/>
          <w:szCs w:val="32"/>
          <w:highlight w:val="none"/>
        </w:rPr>
        <w:t>词分析</w:t>
      </w:r>
      <w:bookmarkEnd w:id="30"/>
    </w:p>
    <w:p w14:paraId="5061580F">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w:t>
      </w:r>
      <w:r>
        <w:rPr>
          <w:rFonts w:hint="eastAsia" w:ascii="仿宋" w:hAnsi="仿宋" w:eastAsia="仿宋" w:cs="仿宋"/>
          <w:sz w:val="28"/>
          <w:szCs w:val="28"/>
          <w:lang w:val="en-US" w:eastAsia="zh-CN"/>
        </w:rPr>
        <w:t>关键</w:t>
      </w:r>
      <w:r>
        <w:rPr>
          <w:rFonts w:ascii="仿宋" w:hAnsi="仿宋" w:eastAsia="仿宋" w:cs="仿宋"/>
          <w:sz w:val="28"/>
          <w:szCs w:val="28"/>
        </w:rPr>
        <w:t>词，</w:t>
      </w:r>
      <w:r>
        <w:rPr>
          <w:rFonts w:hint="eastAsia" w:ascii="仿宋" w:hAnsi="仿宋" w:eastAsia="仿宋" w:cs="仿宋"/>
          <w:sz w:val="28"/>
          <w:szCs w:val="28"/>
          <w:lang w:val="en-US" w:eastAsia="zh-CN"/>
        </w:rPr>
        <w:t>制备方法、层压机、光伏组件、分子标记</w:t>
      </w:r>
      <w:r>
        <w:rPr>
          <w:rFonts w:ascii="仿宋" w:hAnsi="仿宋" w:eastAsia="仿宋" w:cs="仿宋"/>
          <w:sz w:val="28"/>
          <w:szCs w:val="28"/>
        </w:rPr>
        <w:t>等</w:t>
      </w:r>
      <w:r>
        <w:rPr>
          <w:rFonts w:hint="eastAsia" w:ascii="仿宋" w:hAnsi="仿宋" w:eastAsia="仿宋" w:cs="仿宋"/>
          <w:sz w:val="28"/>
          <w:szCs w:val="28"/>
          <w:lang w:val="en-US" w:eastAsia="zh-CN"/>
        </w:rPr>
        <w:t>关键</w:t>
      </w:r>
      <w:r>
        <w:rPr>
          <w:rFonts w:ascii="仿宋" w:hAnsi="仿宋" w:eastAsia="仿宋" w:cs="仿宋"/>
          <w:sz w:val="28"/>
          <w:szCs w:val="28"/>
        </w:rPr>
        <w:t>词出现频率较高</w:t>
      </w:r>
      <w:r>
        <w:rPr>
          <w:rFonts w:hint="eastAsia" w:ascii="仿宋" w:hAnsi="仿宋" w:eastAsia="仿宋" w:cs="仿宋"/>
          <w:sz w:val="28"/>
          <w:szCs w:val="28"/>
          <w:lang w:eastAsia="zh-CN"/>
        </w:rPr>
        <w:t>，</w:t>
      </w:r>
      <w:r>
        <w:rPr>
          <w:rFonts w:ascii="仿宋" w:hAnsi="仿宋" w:eastAsia="仿宋" w:cs="仿宋"/>
          <w:sz w:val="28"/>
          <w:szCs w:val="28"/>
        </w:rPr>
        <w:t>具体分布参见图4。</w:t>
      </w:r>
    </w:p>
    <w:p w14:paraId="3EFC2029">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hint="eastAsia" w:ascii="仿宋" w:hAnsi="仿宋" w:eastAsia="仿宋" w:cs="仿宋"/>
          <w:b/>
          <w:bCs/>
          <w:color w:val="000000"/>
          <w:sz w:val="24"/>
          <w:lang w:val="en-US" w:eastAsia="zh-CN" w:bidi="ar"/>
        </w:rPr>
        <w:t>关键</w:t>
      </w:r>
      <w:r>
        <w:rPr>
          <w:rFonts w:ascii="仿宋" w:hAnsi="仿宋" w:eastAsia="仿宋" w:cs="仿宋"/>
          <w:b/>
          <w:bCs/>
          <w:color w:val="000000"/>
          <w:sz w:val="24"/>
          <w:lang w:bidi="ar"/>
        </w:rPr>
        <w:t>词分布</w:t>
      </w:r>
    </w:p>
    <w:p w14:paraId="58BAF44B">
      <w:pPr>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4494D1">
      <w:pPr>
        <w:spacing w:line="600" w:lineRule="auto"/>
        <w:jc w:val="both"/>
        <w:rPr>
          <w:rFonts w:ascii="仿宋" w:hAnsi="仿宋" w:eastAsia="仿宋" w:cs="仿宋"/>
          <w:b/>
          <w:bCs/>
          <w:color w:val="000000"/>
          <w:sz w:val="24"/>
          <w:lang w:bidi="ar"/>
        </w:rPr>
      </w:pPr>
    </w:p>
    <w:p w14:paraId="72C8A646">
      <w:pPr>
        <w:spacing w:line="720" w:lineRule="auto"/>
        <w:outlineLvl w:val="0"/>
        <w:rPr>
          <w:rFonts w:hint="default" w:ascii="黑体" w:hAnsi="黑体" w:eastAsia="黑体" w:cs="黑体"/>
          <w:b/>
          <w:bCs/>
          <w:sz w:val="32"/>
          <w:szCs w:val="32"/>
          <w:highlight w:val="none"/>
        </w:rPr>
      </w:pPr>
      <w:bookmarkStart w:id="31" w:name="_Toc9952"/>
      <w:r>
        <w:rPr>
          <w:rFonts w:ascii="黑体" w:hAnsi="黑体" w:eastAsia="黑体" w:cs="黑体"/>
          <w:b/>
          <w:bCs/>
          <w:sz w:val="32"/>
          <w:szCs w:val="32"/>
          <w:highlight w:val="none"/>
        </w:rPr>
        <w:t>5.发明人分析</w:t>
      </w:r>
      <w:bookmarkEnd w:id="31"/>
      <w:r>
        <w:rPr>
          <w:rFonts w:ascii="黑体" w:hAnsi="黑体" w:eastAsia="黑体" w:cs="黑体"/>
          <w:sz w:val="32"/>
          <w:szCs w:val="32"/>
          <w:highlight w:val="none"/>
        </w:rPr>
        <w:t>（含合作者）</w:t>
      </w:r>
    </w:p>
    <w:p w14:paraId="28A95924">
      <w:pPr>
        <w:adjustRightInd/>
        <w:spacing w:line="240" w:lineRule="atLeast"/>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3</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14</w:t>
      </w:r>
      <w:r>
        <w:rPr>
          <w:rFonts w:hint="default" w:ascii="仿宋" w:hAnsi="仿宋" w:eastAsia="仿宋" w:cs="仿宋"/>
          <w:sz w:val="28"/>
          <w:szCs w:val="28"/>
        </w:rPr>
        <w:t>人</w:t>
      </w:r>
      <w:r>
        <w:rPr>
          <w:rFonts w:ascii="仿宋" w:hAnsi="仿宋" w:eastAsia="仿宋" w:cs="仿宋"/>
          <w:sz w:val="28"/>
          <w:szCs w:val="28"/>
        </w:rPr>
        <w:t>，具体情况参见表2。</w:t>
      </w:r>
    </w:p>
    <w:p w14:paraId="3692CF30">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1F335FB5">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EFA23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242215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259FC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1F7750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040C294">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983C9A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543A3A4D">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9CFA25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F6FDCE9">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任晓光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236A4E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48BE38E">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3A4E7B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沈江涛</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F81AE3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411C770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C0C606">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1FFE1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CC28B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56BD186">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0F450B4">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王梦贤</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EC2C8D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3709021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99ADDC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E8170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12F38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F398900">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8713B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王帅</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A1BE1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3B3F7A6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681260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B0DC4F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B1DB6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15A8676">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54D0DB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胥雪源</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E9BB86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22845E2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9A47C1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1CE86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高倩</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B403C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66CCD">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5F6F8C9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岳建涛</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9D2F9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735FFEF9">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C149ECC">
            <w:pPr>
              <w:widowControl/>
              <w:jc w:val="center"/>
              <w:textAlignment w:val="center"/>
              <w:rPr>
                <w:rFonts w:hint="eastAsia" w:ascii="仿宋" w:hAnsi="仿宋" w:eastAsia="仿宋" w:cs="仿宋"/>
                <w:color w:val="000000"/>
                <w:sz w:val="24"/>
                <w:szCs w:val="24"/>
                <w:lang w:val="en-US" w:eastAsia="zh-CN" w:bidi="ar"/>
              </w:rPr>
            </w:pPr>
            <w:bookmarkStart w:id="32" w:name="_Toc20469"/>
            <w:bookmarkStart w:id="33" w:name="_Toc16727"/>
            <w:bookmarkStart w:id="34" w:name="_Toc6690"/>
            <w:r>
              <w:rPr>
                <w:rFonts w:hint="eastAsia" w:ascii="仿宋" w:hAnsi="仿宋" w:eastAsia="仿宋" w:cs="仿宋"/>
                <w:color w:val="000000"/>
                <w:sz w:val="24"/>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E7D064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李国昉</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5BF837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05B5201">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19908D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张丹丹</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636D43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5022622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735DBC5">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D289D53">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申艳红</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307C6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158A3B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6170ECA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赵力英</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350E233">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bl>
    <w:p w14:paraId="34E0F3CC">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6.技术领域与产业构成</w:t>
      </w:r>
      <w:bookmarkEnd w:id="32"/>
      <w:bookmarkEnd w:id="33"/>
      <w:r>
        <w:rPr>
          <w:rFonts w:ascii="黑体" w:hAnsi="黑体" w:eastAsia="黑体" w:cs="黑体"/>
          <w:b/>
          <w:bCs/>
          <w:sz w:val="32"/>
          <w:szCs w:val="32"/>
        </w:rPr>
        <w:t>分析</w:t>
      </w:r>
      <w:bookmarkEnd w:id="34"/>
    </w:p>
    <w:p w14:paraId="2C1A7C99">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C12（生物化学；啤酒；烈性酒；果汁酒；醋；微生物学；酶学；突变或遗传工程）、A01（农业；林业；畜牧业；狩猎；诱捕；捕鱼）、G06（计算;计算或计数）、G01（测量；测试）</w:t>
      </w:r>
      <w:r>
        <w:rPr>
          <w:rFonts w:ascii="仿宋" w:hAnsi="仿宋" w:eastAsia="仿宋"/>
          <w:color w:val="333333"/>
          <w:sz w:val="28"/>
          <w:shd w:val="clear" w:color="auto" w:fill="FFFFFF"/>
        </w:rPr>
        <w:t>等，详情参见图</w:t>
      </w:r>
      <w:r>
        <w:rPr>
          <w:rFonts w:hint="eastAsia" w:ascii="仿宋" w:hAnsi="仿宋" w:eastAsia="仿宋"/>
          <w:color w:val="333333"/>
          <w:sz w:val="28"/>
          <w:shd w:val="clear" w:color="auto" w:fill="FFFFFF"/>
          <w:lang w:val="en-US" w:eastAsia="zh-CN"/>
        </w:rPr>
        <w:t>5</w:t>
      </w:r>
      <w:r>
        <w:rPr>
          <w:rFonts w:ascii="仿宋" w:hAnsi="仿宋" w:eastAsia="仿宋"/>
          <w:color w:val="333333"/>
          <w:sz w:val="28"/>
          <w:shd w:val="clear" w:color="auto" w:fill="FFFFFF"/>
        </w:rPr>
        <w:t>。</w:t>
      </w:r>
    </w:p>
    <w:p w14:paraId="0409EA0A">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p>
    <w:p w14:paraId="3B00A078">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p>
    <w:p w14:paraId="1799F419">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p>
    <w:p w14:paraId="21F1C02C">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p>
    <w:p w14:paraId="0CF3A13F">
      <w:pPr>
        <w:pStyle w:val="14"/>
        <w:spacing w:line="600" w:lineRule="auto"/>
        <w:ind w:firstLine="0" w:firstLineChars="0"/>
        <w:jc w:val="center"/>
        <w:rPr>
          <w:rFonts w:ascii="仿宋" w:hAnsi="仿宋" w:eastAsia="仿宋"/>
          <w:b/>
          <w:sz w:val="24"/>
        </w:rPr>
      </w:pPr>
      <w:r>
        <w:rPr>
          <w:rFonts w:ascii="仿宋" w:hAnsi="仿宋" w:eastAsia="仿宋"/>
          <w:b/>
          <w:sz w:val="24"/>
        </w:rPr>
        <w:t>图</w:t>
      </w:r>
      <w:r>
        <w:rPr>
          <w:rFonts w:hint="eastAsia" w:ascii="仿宋" w:hAnsi="仿宋" w:eastAsia="仿宋"/>
          <w:b/>
          <w:sz w:val="24"/>
          <w:lang w:val="en-US" w:eastAsia="zh-CN"/>
        </w:rPr>
        <w:t>5</w:t>
      </w:r>
      <w:r>
        <w:rPr>
          <w:rFonts w:ascii="仿宋" w:hAnsi="仿宋" w:eastAsia="仿宋"/>
          <w:b/>
          <w:sz w:val="24"/>
        </w:rPr>
        <w:t>：河北科技师范学院</w:t>
      </w:r>
      <w:r>
        <w:rPr>
          <w:rFonts w:hint="eastAsia" w:ascii="仿宋" w:hAnsi="仿宋" w:eastAsia="仿宋"/>
          <w:b/>
          <w:sz w:val="24"/>
          <w:lang w:eastAsia="zh-CN"/>
        </w:rPr>
        <w:t>2025年第三季度</w:t>
      </w:r>
      <w:r>
        <w:rPr>
          <w:rFonts w:ascii="仿宋" w:hAnsi="仿宋" w:eastAsia="仿宋"/>
          <w:b/>
          <w:sz w:val="24"/>
        </w:rPr>
        <w:t>专利技术领域与产业构成分布</w:t>
      </w:r>
    </w:p>
    <w:p w14:paraId="1601E6E0">
      <w:pPr>
        <w:pStyle w:val="14"/>
        <w:spacing w:line="600" w:lineRule="auto"/>
        <w:ind w:firstLine="0" w:firstLineChars="0"/>
        <w:jc w:val="center"/>
        <w:rPr>
          <w:rFonts w:ascii="黑体" w:hAnsi="黑体" w:eastAsia="黑体" w:cs="黑体"/>
          <w:b/>
          <w:bCs/>
          <w:sz w:val="32"/>
          <w:szCs w:val="32"/>
        </w:rPr>
      </w:pPr>
      <w:r>
        <w:drawing>
          <wp:inline distT="0" distB="0" distL="114300" distR="114300">
            <wp:extent cx="4826000" cy="27432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5" w:name="_Toc23978"/>
    </w:p>
    <w:p w14:paraId="567989FE">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28367B2D">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34</w:t>
      </w:r>
      <w:r>
        <w:rPr>
          <w:rFonts w:ascii="仿宋" w:hAnsi="仿宋" w:eastAsia="仿宋" w:cs="仿宋"/>
          <w:sz w:val="28"/>
          <w:szCs w:val="28"/>
        </w:rPr>
        <w:t>件，占比</w:t>
      </w:r>
      <w:r>
        <w:rPr>
          <w:rFonts w:hint="eastAsia" w:ascii="仿宋" w:hAnsi="仿宋" w:eastAsia="仿宋" w:cs="仿宋"/>
          <w:sz w:val="28"/>
          <w:szCs w:val="28"/>
          <w:lang w:val="en-US" w:eastAsia="zh-CN"/>
        </w:rPr>
        <w:t>85</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6</w:t>
      </w:r>
      <w:r>
        <w:rPr>
          <w:rFonts w:ascii="仿宋" w:hAnsi="仿宋" w:eastAsia="仿宋" w:cs="仿宋"/>
          <w:sz w:val="28"/>
          <w:szCs w:val="28"/>
        </w:rPr>
        <w:t>件，占比</w:t>
      </w:r>
      <w:r>
        <w:rPr>
          <w:rFonts w:hint="eastAsia" w:ascii="仿宋" w:hAnsi="仿宋" w:eastAsia="仿宋" w:cs="仿宋"/>
          <w:sz w:val="28"/>
          <w:szCs w:val="28"/>
          <w:lang w:val="en-US" w:eastAsia="zh-CN"/>
        </w:rPr>
        <w:t>15</w:t>
      </w:r>
      <w:r>
        <w:rPr>
          <w:rFonts w:ascii="仿宋" w:hAnsi="仿宋" w:eastAsia="仿宋" w:cs="仿宋"/>
          <w:sz w:val="28"/>
          <w:szCs w:val="28"/>
        </w:rPr>
        <w:t>%；具体分布参见图</w:t>
      </w:r>
      <w:r>
        <w:rPr>
          <w:rFonts w:hint="eastAsia" w:ascii="仿宋" w:hAnsi="仿宋" w:eastAsia="仿宋" w:cs="仿宋"/>
          <w:sz w:val="28"/>
          <w:szCs w:val="28"/>
          <w:lang w:val="en-US" w:eastAsia="zh-CN"/>
        </w:rPr>
        <w:t>6</w:t>
      </w:r>
      <w:r>
        <w:rPr>
          <w:rFonts w:ascii="仿宋" w:hAnsi="仿宋" w:eastAsia="仿宋" w:cs="仿宋"/>
          <w:sz w:val="28"/>
          <w:szCs w:val="28"/>
        </w:rPr>
        <w:t>。</w:t>
      </w:r>
    </w:p>
    <w:p w14:paraId="65A8599A">
      <w:pPr>
        <w:spacing w:line="360" w:lineRule="auto"/>
        <w:jc w:val="both"/>
        <w:rPr>
          <w:rFonts w:ascii="仿宋" w:hAnsi="仿宋" w:eastAsia="仿宋" w:cs="仿宋"/>
          <w:b/>
          <w:bCs/>
          <w:sz w:val="24"/>
        </w:rPr>
      </w:pPr>
    </w:p>
    <w:p w14:paraId="1060EC0F">
      <w:pPr>
        <w:spacing w:line="600" w:lineRule="auto"/>
        <w:jc w:val="center"/>
        <w:rPr>
          <w:rFonts w:ascii="仿宋" w:hAnsi="仿宋" w:eastAsia="仿宋" w:cs="仿宋"/>
          <w:b/>
          <w:bCs/>
          <w:color w:val="000000"/>
          <w:sz w:val="24"/>
          <w:lang w:bidi="ar"/>
        </w:rPr>
      </w:pPr>
      <w:r>
        <w:rPr>
          <w:rFonts w:ascii="仿宋" w:hAnsi="仿宋" w:eastAsia="仿宋" w:cs="仿宋"/>
          <w:b/>
          <w:bCs/>
          <w:sz w:val="24"/>
        </w:rPr>
        <w:t>图</w:t>
      </w:r>
      <w:r>
        <w:rPr>
          <w:rFonts w:hint="eastAsia" w:ascii="仿宋" w:hAnsi="仿宋" w:eastAsia="仿宋" w:cs="仿宋"/>
          <w:b/>
          <w:bCs/>
          <w:sz w:val="24"/>
          <w:lang w:val="en-US" w:eastAsia="zh-CN"/>
        </w:rPr>
        <w:t>6</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专利申请机构分布</w:t>
      </w:r>
    </w:p>
    <w:p w14:paraId="3DA3F2AA">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BC9239">
      <w:pPr>
        <w:spacing w:line="720" w:lineRule="auto"/>
        <w:outlineLvl w:val="0"/>
        <w:rPr>
          <w:rFonts w:hint="default" w:ascii="黑体" w:hAnsi="黑体" w:eastAsia="黑体" w:cs="黑体"/>
          <w:b/>
          <w:bCs/>
          <w:sz w:val="32"/>
          <w:szCs w:val="32"/>
        </w:rPr>
      </w:pPr>
      <w:bookmarkStart w:id="36" w:name="_Toc29"/>
      <w:r>
        <w:rPr>
          <w:rFonts w:ascii="黑体" w:hAnsi="黑体" w:eastAsia="黑体" w:cs="黑体"/>
          <w:b/>
          <w:bCs/>
          <w:sz w:val="32"/>
          <w:szCs w:val="32"/>
        </w:rPr>
        <w:t>8.代理机构分析</w:t>
      </w:r>
      <w:bookmarkEnd w:id="36"/>
    </w:p>
    <w:p w14:paraId="22A929F2">
      <w:pPr>
        <w:spacing w:line="480" w:lineRule="auto"/>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2025年第三季度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40</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26</w:t>
      </w:r>
      <w:r>
        <w:rPr>
          <w:rFonts w:ascii="仿宋" w:hAnsi="仿宋" w:eastAsia="仿宋" w:cs="仿宋"/>
          <w:sz w:val="28"/>
          <w:szCs w:val="28"/>
        </w:rPr>
        <w:t>家，其中</w:t>
      </w:r>
      <w:r>
        <w:rPr>
          <w:rFonts w:hint="eastAsia" w:ascii="仿宋" w:hAnsi="仿宋" w:eastAsia="仿宋" w:cs="仿宋"/>
          <w:sz w:val="28"/>
          <w:szCs w:val="28"/>
          <w:lang w:val="en-US" w:eastAsia="zh-CN"/>
        </w:rPr>
        <w:t>北京中济纬天专利代理有限公司、北京迪壹知行专利代理事务所、北京高沃律师事务所、北京慕达星云知识产权代理事务所</w:t>
      </w:r>
      <w:bookmarkStart w:id="38" w:name="_GoBack"/>
      <w:bookmarkEnd w:id="38"/>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14:paraId="22B6A87D">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2025年第三季度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6B3F77D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99899E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47C3E22E">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48B342">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745A2E6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109B426">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2C36DCAD">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4EDC37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r>
      <w:tr w14:paraId="014896F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20EFC">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32CA8D">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北京迪壹知行专利代理事务所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DFE65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14:paraId="68B02C4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5372B1">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DE836A4">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5196A99">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14:paraId="6AB176E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94FD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E32B08">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151D67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14:paraId="1F878C6D">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C3E6329">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6802FF81">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北京瑞盛铭杰知识产权代理有限公司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0FFB074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0D5C5EE">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B5B2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AAB161">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北京中知音诺知识产权代理事务所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EC9477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66B0404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E67380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67FCA56A">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东莞市神州众达专利商标事务所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097A193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38216571">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5DD94">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F548E8">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哈尔滨市阳光惠远知识产权代理有限公司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C78409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308BAF3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6C0088D">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6F6C521D">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石家庄众志华清知识产权事务所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6977B74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14:paraId="0837C234">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14:paraId="5FAC945A">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2025年第三季度</w:t>
      </w:r>
      <w:r>
        <w:rPr>
          <w:rFonts w:ascii="仿宋" w:hAnsi="仿宋" w:eastAsia="仿宋" w:cs="仿宋"/>
          <w:sz w:val="28"/>
          <w:szCs w:val="28"/>
        </w:rPr>
        <w:t>以河北科技师范学院为申请人公布公告的专利，分别从专利数量、专利类别、学科、</w:t>
      </w:r>
      <w:r>
        <w:rPr>
          <w:rFonts w:hint="eastAsia" w:ascii="仿宋" w:hAnsi="仿宋" w:eastAsia="仿宋" w:cs="仿宋"/>
          <w:sz w:val="28"/>
          <w:szCs w:val="28"/>
          <w:lang w:val="en-US" w:eastAsia="zh-CN"/>
        </w:rPr>
        <w:t>关键词</w:t>
      </w:r>
      <w:r>
        <w:rPr>
          <w:rFonts w:ascii="仿宋" w:hAnsi="仿宋" w:eastAsia="仿宋" w:cs="仿宋"/>
          <w:sz w:val="28"/>
          <w:szCs w:val="28"/>
        </w:rPr>
        <w:t>、发明人、技术领域与产业结构、申请机构、代理机构八大方面进行了具体分析和阐述，希望通过提供基础数据和文献分析，进一步揭示我校专利发展水平和发展趋势，为推动学校科研发展尽绵薄之力。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BE450"/>
    <w:multiLevelType w:val="singleLevel"/>
    <w:tmpl w:val="01BBE450"/>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31C69F7"/>
    <w:rsid w:val="061B4D44"/>
    <w:rsid w:val="068C5D47"/>
    <w:rsid w:val="07A31A18"/>
    <w:rsid w:val="0A2A37A7"/>
    <w:rsid w:val="0A495CA2"/>
    <w:rsid w:val="0AE765E4"/>
    <w:rsid w:val="0B1D526B"/>
    <w:rsid w:val="0B6D1B6C"/>
    <w:rsid w:val="0CC56CA9"/>
    <w:rsid w:val="0CF243D5"/>
    <w:rsid w:val="0D6D52D1"/>
    <w:rsid w:val="0DD34156"/>
    <w:rsid w:val="0DEB14A0"/>
    <w:rsid w:val="0E0E2157"/>
    <w:rsid w:val="0E8611C8"/>
    <w:rsid w:val="0F076F9B"/>
    <w:rsid w:val="0FFF56D6"/>
    <w:rsid w:val="11B97A3C"/>
    <w:rsid w:val="19C808E7"/>
    <w:rsid w:val="19E62F1F"/>
    <w:rsid w:val="1BD6553D"/>
    <w:rsid w:val="1DFF157A"/>
    <w:rsid w:val="1E4046D6"/>
    <w:rsid w:val="1F817EB6"/>
    <w:rsid w:val="22433200"/>
    <w:rsid w:val="232105B2"/>
    <w:rsid w:val="243948BB"/>
    <w:rsid w:val="25473008"/>
    <w:rsid w:val="255F47F5"/>
    <w:rsid w:val="275A53D4"/>
    <w:rsid w:val="289B5F52"/>
    <w:rsid w:val="28E03E9F"/>
    <w:rsid w:val="29C91960"/>
    <w:rsid w:val="2B427374"/>
    <w:rsid w:val="2C4402A1"/>
    <w:rsid w:val="2E900365"/>
    <w:rsid w:val="2EAB0AAB"/>
    <w:rsid w:val="2EE713B8"/>
    <w:rsid w:val="2F44466F"/>
    <w:rsid w:val="30EF096B"/>
    <w:rsid w:val="320F1351"/>
    <w:rsid w:val="34AE28E6"/>
    <w:rsid w:val="36755FC0"/>
    <w:rsid w:val="37C33E8B"/>
    <w:rsid w:val="37CB5D1A"/>
    <w:rsid w:val="3ADE3FB6"/>
    <w:rsid w:val="3B380AF6"/>
    <w:rsid w:val="3E0F26DB"/>
    <w:rsid w:val="3EA2247C"/>
    <w:rsid w:val="3F88629F"/>
    <w:rsid w:val="434765EA"/>
    <w:rsid w:val="43855569"/>
    <w:rsid w:val="43D9531B"/>
    <w:rsid w:val="44FB69A3"/>
    <w:rsid w:val="456B524E"/>
    <w:rsid w:val="460526F7"/>
    <w:rsid w:val="47736058"/>
    <w:rsid w:val="48374419"/>
    <w:rsid w:val="48554001"/>
    <w:rsid w:val="48BD06AA"/>
    <w:rsid w:val="49751CD3"/>
    <w:rsid w:val="4A233794"/>
    <w:rsid w:val="4A9C0518"/>
    <w:rsid w:val="4BA86901"/>
    <w:rsid w:val="4BB02E05"/>
    <w:rsid w:val="4BB74194"/>
    <w:rsid w:val="4EB42C0C"/>
    <w:rsid w:val="4F8C0AA4"/>
    <w:rsid w:val="4FF534DD"/>
    <w:rsid w:val="511856D5"/>
    <w:rsid w:val="51F021AD"/>
    <w:rsid w:val="52734B8D"/>
    <w:rsid w:val="53186936"/>
    <w:rsid w:val="533D58C6"/>
    <w:rsid w:val="53F65A75"/>
    <w:rsid w:val="56A50181"/>
    <w:rsid w:val="56FC7846"/>
    <w:rsid w:val="59D14FBA"/>
    <w:rsid w:val="5A551748"/>
    <w:rsid w:val="5AF745AD"/>
    <w:rsid w:val="5BDB3ECE"/>
    <w:rsid w:val="5DCA7D57"/>
    <w:rsid w:val="5EA66A16"/>
    <w:rsid w:val="5EE215D5"/>
    <w:rsid w:val="5F773F0E"/>
    <w:rsid w:val="60D16F99"/>
    <w:rsid w:val="623C1CD3"/>
    <w:rsid w:val="63E410CB"/>
    <w:rsid w:val="645C16BE"/>
    <w:rsid w:val="64AF414A"/>
    <w:rsid w:val="65B85280"/>
    <w:rsid w:val="680E2F36"/>
    <w:rsid w:val="68A1024E"/>
    <w:rsid w:val="6B6F7D82"/>
    <w:rsid w:val="6CA15572"/>
    <w:rsid w:val="6D325918"/>
    <w:rsid w:val="6D77388D"/>
    <w:rsid w:val="6DD62421"/>
    <w:rsid w:val="6E227207"/>
    <w:rsid w:val="6F196D90"/>
    <w:rsid w:val="6F810491"/>
    <w:rsid w:val="6FCD2D41"/>
    <w:rsid w:val="72646574"/>
    <w:rsid w:val="753E2D17"/>
    <w:rsid w:val="754E0E15"/>
    <w:rsid w:val="764E64DD"/>
    <w:rsid w:val="77C17FC5"/>
    <w:rsid w:val="78FA3A9C"/>
    <w:rsid w:val="79BF69E1"/>
    <w:rsid w:val="7B757402"/>
    <w:rsid w:val="7C23124E"/>
    <w:rsid w:val="7C813CF4"/>
    <w:rsid w:val="7CF404F4"/>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5&#24180;-&#19987;&#21033;\2025&#31532;&#19977;&#23395;&#24230;&#19987;&#21033;&#24773;&#20917;&#32479;&#35745;\CNKI-2025&#31532;&#19977;&#23395;&#24230;&#19987;&#21033;&#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专利总体趋势</a:t>
            </a:r>
            <a:endParaRPr lang="en-US" altLang="zh-CN"/>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'[CNKI-2025第三季度专利数据.xls]1专利数量'!$A$2:$A$4</c:f>
              <c:numCache>
                <c:formatCode>yyyy"年"m"月"</c:formatCode>
                <c:ptCount val="3"/>
                <c:pt idx="0" c:formatCode="yyyy&quot;年&quot;m&quot;月&quot;">
                  <c:v>45839</c:v>
                </c:pt>
                <c:pt idx="1" c:formatCode="yyyy&quot;年&quot;m&quot;月&quot;">
                  <c:v>45870</c:v>
                </c:pt>
                <c:pt idx="2" c:formatCode="yyyy&quot;年&quot;m&quot;月&quot;">
                  <c:v>45901</c:v>
                </c:pt>
              </c:numCache>
            </c:numRef>
          </c:cat>
          <c:val>
            <c:numRef>
              <c:f>'[CNKI-2025第三季度专利数据.xls]1专利数量'!$B$2:$B$4</c:f>
              <c:numCache>
                <c:formatCode>General</c:formatCode>
                <c:ptCount val="3"/>
                <c:pt idx="0">
                  <c:v>8</c:v>
                </c:pt>
                <c:pt idx="1">
                  <c:v>20</c:v>
                </c:pt>
                <c:pt idx="2">
                  <c:v>12</c:v>
                </c:pt>
              </c:numCache>
            </c:numRef>
          </c:val>
          <c:smooth val="0"/>
        </c:ser>
        <c:dLbls>
          <c:showLegendKey val="0"/>
          <c:showVal val="1"/>
          <c:showCatName val="0"/>
          <c:showSerName val="0"/>
          <c:showPercent val="0"/>
          <c:showBubbleSize val="0"/>
        </c:dLbls>
        <c:marker val="0"/>
        <c:smooth val="0"/>
        <c:axId val="461027704"/>
        <c:axId val="336920593"/>
      </c:lineChart>
      <c:dateAx>
        <c:axId val="46102770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6920593"/>
        <c:crosses val="autoZero"/>
        <c:auto val="1"/>
        <c:lblOffset val="100"/>
        <c:baseTimeUnit val="months"/>
      </c:dateAx>
      <c:valAx>
        <c:axId val="33692059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027704"/>
        <c:crosses val="autoZero"/>
        <c:crossBetween val="between"/>
      </c:valAx>
      <c:spPr>
        <a:noFill/>
        <a:ln>
          <a:noFill/>
        </a:ln>
        <a:effectLst/>
      </c:spPr>
    </c:plotArea>
    <c:plotVisOnly val="1"/>
    <c:dispBlanksAs val="gap"/>
    <c:showDLblsOverMax val="0"/>
    <c:extLst>
      <c:ext uri="{0b15fc19-7d7d-44ad-8c2d-2c3a37ce22c3}">
        <chartProps xmlns="https://web.wps.cn/et/2018/main" chartId="{c193db86-f331-4b52-8dc0-fc367beb32b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'[CNKI-2025第三季度专利数据.xls]2专利类别'!$D$2:$D$4</c:f>
              <c:strCache>
                <c:ptCount val="3"/>
                <c:pt idx="0">
                  <c:v>发明公开</c:v>
                </c:pt>
                <c:pt idx="1">
                  <c:v>发明授权</c:v>
                </c:pt>
                <c:pt idx="2">
                  <c:v>实用新型</c:v>
                </c:pt>
              </c:strCache>
            </c:strRef>
          </c:cat>
          <c:val>
            <c:numRef>
              <c:f>'[CNKI-2025第三季度专利数据.xls]2专利类别'!$E$2:$E$4</c:f>
              <c:numCache>
                <c:formatCode>@</c:formatCode>
                <c:ptCount val="3"/>
                <c:pt idx="0">
                  <c:v>26</c:v>
                </c:pt>
                <c:pt idx="1">
                  <c:v>10</c:v>
                </c:pt>
                <c:pt idx="2">
                  <c:v>4</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87aa3d8-64bb-4962-bebf-7efa7ec253d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'[CNKI-2025第三季度专利数据.xls]3学科分布'!$A$2:$A$18</c:f>
              <c:strCache>
                <c:ptCount val="17"/>
                <c:pt idx="0">
                  <c:v>生物学</c:v>
                </c:pt>
                <c:pt idx="1">
                  <c:v>轻工业手工业</c:v>
                </c:pt>
                <c:pt idx="2">
                  <c:v>农艺学</c:v>
                </c:pt>
                <c:pt idx="3">
                  <c:v>计算机软件及计算机应用</c:v>
                </c:pt>
                <c:pt idx="4">
                  <c:v>工业通用技术及设备</c:v>
                </c:pt>
                <c:pt idx="5">
                  <c:v>中药学</c:v>
                </c:pt>
                <c:pt idx="6">
                  <c:v>农业工程</c:v>
                </c:pt>
                <c:pt idx="7">
                  <c:v>有机化工</c:v>
                </c:pt>
                <c:pt idx="8">
                  <c:v>林业</c:v>
                </c:pt>
                <c:pt idx="9">
                  <c:v>无机化工</c:v>
                </c:pt>
                <c:pt idx="10">
                  <c:v>植物保护</c:v>
                </c:pt>
                <c:pt idx="11">
                  <c:v>化学</c:v>
                </c:pt>
                <c:pt idx="12">
                  <c:v>电力工业</c:v>
                </c:pt>
                <c:pt idx="13">
                  <c:v>金属学及金属工艺</c:v>
                </c:pt>
                <c:pt idx="14">
                  <c:v>仪器仪表工业</c:v>
                </c:pt>
                <c:pt idx="15">
                  <c:v>机械工业</c:v>
                </c:pt>
                <c:pt idx="16">
                  <c:v>电信技术</c:v>
                </c:pt>
              </c:strCache>
            </c:strRef>
          </c:cat>
          <c:val>
            <c:numRef>
              <c:f>'[CNKI-2025第三季度专利数据.xls]3学科分布'!$B$2:$B$18</c:f>
              <c:numCache>
                <c:formatCode>General</c:formatCode>
                <c:ptCount val="17"/>
                <c:pt idx="0">
                  <c:v>9</c:v>
                </c:pt>
                <c:pt idx="1">
                  <c:v>7</c:v>
                </c:pt>
                <c:pt idx="2">
                  <c:v>4</c:v>
                </c:pt>
                <c:pt idx="3">
                  <c:v>3</c:v>
                </c:pt>
                <c:pt idx="4">
                  <c:v>3</c:v>
                </c:pt>
                <c:pt idx="5">
                  <c:v>2</c:v>
                </c:pt>
                <c:pt idx="6">
                  <c:v>2</c:v>
                </c:pt>
                <c:pt idx="7">
                  <c:v>2</c:v>
                </c:pt>
                <c:pt idx="8">
                  <c:v>1</c:v>
                </c:pt>
                <c:pt idx="9">
                  <c:v>1</c:v>
                </c:pt>
                <c:pt idx="10">
                  <c:v>1</c:v>
                </c:pt>
                <c:pt idx="11">
                  <c:v>1</c:v>
                </c:pt>
                <c:pt idx="12">
                  <c:v>1</c:v>
                </c:pt>
                <c:pt idx="13">
                  <c:v>1</c:v>
                </c:pt>
                <c:pt idx="14">
                  <c:v>1</c:v>
                </c:pt>
                <c:pt idx="15">
                  <c:v>1</c:v>
                </c:pt>
                <c:pt idx="16">
                  <c:v>1</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a77c621-7c00-498d-9f3e-cee02b234ed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'[CNKI-2025第三季度专利数据.xls]4关键词'!$A$2:$A$31</c:f>
              <c:strCache>
                <c:ptCount val="30"/>
                <c:pt idx="0">
                  <c:v>制备方法</c:v>
                </c:pt>
                <c:pt idx="1">
                  <c:v>层压机</c:v>
                </c:pt>
                <c:pt idx="2">
                  <c:v>光伏组件</c:v>
                </c:pt>
                <c:pt idx="3">
                  <c:v>分子标记</c:v>
                </c:pt>
                <c:pt idx="4">
                  <c:v>电池组件</c:v>
                </c:pt>
                <c:pt idx="5">
                  <c:v>InDel</c:v>
                </c:pt>
                <c:pt idx="6">
                  <c:v>层压板</c:v>
                </c:pt>
                <c:pt idx="7">
                  <c:v>生产线</c:v>
                </c:pt>
                <c:pt idx="8">
                  <c:v>中草药</c:v>
                </c:pt>
                <c:pt idx="9">
                  <c:v>固定连接</c:v>
                </c:pt>
                <c:pt idx="10">
                  <c:v>番茄品种</c:v>
                </c:pt>
                <c:pt idx="11">
                  <c:v>生物乳化剂</c:v>
                </c:pt>
                <c:pt idx="12">
                  <c:v>氨基酸</c:v>
                </c:pt>
                <c:pt idx="13">
                  <c:v>单性结实</c:v>
                </c:pt>
                <c:pt idx="14">
                  <c:v>交变磁场</c:v>
                </c:pt>
                <c:pt idx="15">
                  <c:v>布鲁氏菌病</c:v>
                </c:pt>
                <c:pt idx="16">
                  <c:v>扩链剂</c:v>
                </c:pt>
                <c:pt idx="17">
                  <c:v>预处理</c:v>
                </c:pt>
                <c:pt idx="18">
                  <c:v>ThGRF5</c:v>
                </c:pt>
                <c:pt idx="19">
                  <c:v>流化床</c:v>
                </c:pt>
                <c:pt idx="20">
                  <c:v>气流冲击</c:v>
                </c:pt>
                <c:pt idx="21">
                  <c:v>滤水板</c:v>
                </c:pt>
                <c:pt idx="22">
                  <c:v>分离方法</c:v>
                </c:pt>
                <c:pt idx="23">
                  <c:v>机械手</c:v>
                </c:pt>
                <c:pt idx="24">
                  <c:v>河流水污染</c:v>
                </c:pt>
                <c:pt idx="25">
                  <c:v>不动杆菌</c:v>
                </c:pt>
                <c:pt idx="26">
                  <c:v>卡扣装置</c:v>
                </c:pt>
                <c:pt idx="27">
                  <c:v>板栗壳</c:v>
                </c:pt>
                <c:pt idx="28">
                  <c:v>拉伸弹簧</c:v>
                </c:pt>
                <c:pt idx="29">
                  <c:v>制备工艺</c:v>
                </c:pt>
              </c:strCache>
            </c:strRef>
          </c:cat>
          <c:val>
            <c:numRef>
              <c:f>'[CNKI-2025第三季度专利数据.xls]4关键词'!$B$2:$B$31</c:f>
              <c:numCache>
                <c:formatCode>General</c:formatCode>
                <c:ptCount val="30"/>
                <c:pt idx="0">
                  <c:v>4</c:v>
                </c:pt>
                <c:pt idx="1">
                  <c:v>4</c:v>
                </c:pt>
                <c:pt idx="2">
                  <c:v>3</c:v>
                </c:pt>
                <c:pt idx="3">
                  <c:v>3</c:v>
                </c:pt>
                <c:pt idx="4">
                  <c:v>2</c:v>
                </c:pt>
                <c:pt idx="5">
                  <c:v>2</c:v>
                </c:pt>
                <c:pt idx="6">
                  <c:v>2</c:v>
                </c:pt>
                <c:pt idx="7">
                  <c:v>2</c:v>
                </c:pt>
                <c:pt idx="8">
                  <c:v>2</c:v>
                </c:pt>
                <c:pt idx="9">
                  <c:v>2</c:v>
                </c:pt>
                <c:pt idx="10">
                  <c:v>2</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8ec5391-0174-4d60-be28-5235c2e8b93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技术领域与产业构成分布</a:t>
            </a:r>
          </a:p>
        </c:rich>
      </c:tx>
      <c:layout>
        <c:manualLayout>
          <c:xMode val="edge"/>
          <c:yMode val="edge"/>
          <c:x val="0.296052631578947"/>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'[CNKI-2025第三季度专利数据.xls]6IPC'!$D$3:$D$18</c:f>
              <c:strCache>
                <c:ptCount val="16"/>
                <c:pt idx="0">
                  <c:v>C12</c:v>
                </c:pt>
                <c:pt idx="1">
                  <c:v>A01</c:v>
                </c:pt>
                <c:pt idx="2">
                  <c:v>G06</c:v>
                </c:pt>
                <c:pt idx="3">
                  <c:v>G01</c:v>
                </c:pt>
                <c:pt idx="4">
                  <c:v>A23</c:v>
                </c:pt>
                <c:pt idx="5">
                  <c:v>A61</c:v>
                </c:pt>
                <c:pt idx="6">
                  <c:v>B32</c:v>
                </c:pt>
                <c:pt idx="7">
                  <c:v>B65</c:v>
                </c:pt>
                <c:pt idx="8">
                  <c:v>C09</c:v>
                </c:pt>
                <c:pt idx="9">
                  <c:v>H10</c:v>
                </c:pt>
                <c:pt idx="10">
                  <c:v>B07</c:v>
                </c:pt>
                <c:pt idx="11">
                  <c:v>B23</c:v>
                </c:pt>
                <c:pt idx="12">
                  <c:v>B26</c:v>
                </c:pt>
                <c:pt idx="13">
                  <c:v>C02</c:v>
                </c:pt>
                <c:pt idx="14">
                  <c:v>C05</c:v>
                </c:pt>
                <c:pt idx="15">
                  <c:v>C08</c:v>
                </c:pt>
              </c:strCache>
            </c:strRef>
          </c:cat>
          <c:val>
            <c:numRef>
              <c:f>'[CNKI-2025第三季度专利数据.xls]6IPC'!$E$3:$E$18</c:f>
              <c:numCache>
                <c:formatCode>General</c:formatCode>
                <c:ptCount val="16"/>
                <c:pt idx="0">
                  <c:v>8</c:v>
                </c:pt>
                <c:pt idx="1">
                  <c:v>7</c:v>
                </c:pt>
                <c:pt idx="2">
                  <c:v>4</c:v>
                </c:pt>
                <c:pt idx="3">
                  <c:v>3</c:v>
                </c:pt>
                <c:pt idx="4">
                  <c:v>2</c:v>
                </c:pt>
                <c:pt idx="5">
                  <c:v>2</c:v>
                </c:pt>
                <c:pt idx="6">
                  <c:v>2</c:v>
                </c:pt>
                <c:pt idx="7">
                  <c:v>2</c:v>
                </c:pt>
                <c:pt idx="8">
                  <c:v>2</c:v>
                </c:pt>
                <c:pt idx="9">
                  <c:v>2</c:v>
                </c:pt>
                <c:pt idx="10">
                  <c:v>1</c:v>
                </c:pt>
                <c:pt idx="11">
                  <c:v>1</c:v>
                </c:pt>
                <c:pt idx="12">
                  <c:v>1</c:v>
                </c:pt>
                <c:pt idx="13">
                  <c:v>1</c:v>
                </c:pt>
                <c:pt idx="14">
                  <c:v>1</c:v>
                </c:pt>
                <c:pt idx="1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4e652f9-d53f-4e3c-973a-bb0b24a2bf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'[CNKI-2025第三季度专利数据.xls]7申请机构'!$D$4:$D$5</c:f>
              <c:strCache>
                <c:ptCount val="2"/>
                <c:pt idx="0" c:formatCode="@">
                  <c:v>河北科技师范学院</c:v>
                </c:pt>
                <c:pt idx="1" c:formatCode="@">
                  <c:v>河北科技师范学院+其他</c:v>
                </c:pt>
              </c:strCache>
            </c:strRef>
          </c:cat>
          <c:val>
            <c:numRef>
              <c:f>'[CNKI-2025第三季度专利数据.xls]7申请机构'!$E$4:$E$5</c:f>
              <c:numCache>
                <c:formatCode>General</c:formatCode>
                <c:ptCount val="2"/>
                <c:pt idx="0">
                  <c:v>34</c:v>
                </c:pt>
                <c:pt idx="1">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c4cdfd4-72ea-4dd7-ab2e-aa31973f933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977</Words>
  <Characters>1071</Characters>
  <Lines>20</Lines>
  <Paragraphs>5</Paragraphs>
  <TotalTime>6</TotalTime>
  <ScaleCrop>false</ScaleCrop>
  <LinksUpToDate>false</LinksUpToDate>
  <CharactersWithSpaces>1122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2025-10-20T01:29:26Z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55800B5F88B5493DA75F3E47F422650E_13</vt:lpwstr>
  </property>
  <property fmtid="{D5CDD505-2E9C-101B-9397-08002B2CF9AE}" pid="4" name="KSOTemplateDocerSaveRecord">
    <vt:lpwstr>eyJoZGlkIjoiMjNhYzFjZjYwYzg0NWUwYjRlOWI0YWZlM2M4YzZmNjIiLCJ1c2VySWQiOiIyNjk0OTc5NjcifQ==</vt:lpwstr>
  </property>
</Properties>
</file>